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2C78E">
      <w:pPr>
        <w:pStyle w:val="8"/>
        <w:widowControl/>
        <w:shd w:val="clear" w:color="auto" w:fill="FFFFFF"/>
        <w:spacing w:line="578" w:lineRule="exact"/>
        <w:ind w:left="0" w:leftChars="0" w:firstLine="0" w:firstLine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附件1：</w:t>
      </w:r>
    </w:p>
    <w:p w14:paraId="1BD9C975">
      <w:pPr>
        <w:pStyle w:val="8"/>
        <w:widowControl/>
        <w:shd w:val="clear" w:color="auto" w:fill="FFFFFF"/>
        <w:spacing w:line="578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78EA4637">
      <w:pPr>
        <w:pStyle w:val="8"/>
        <w:widowControl/>
        <w:shd w:val="clear" w:color="auto" w:fill="FFFFFF"/>
        <w:spacing w:line="578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成果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val="en-US" w:eastAsia="zh-CN"/>
        </w:rPr>
        <w:t>要求与标准</w:t>
      </w:r>
    </w:p>
    <w:p w14:paraId="7048BB5F">
      <w:pPr>
        <w:pStyle w:val="8"/>
        <w:widowControl/>
        <w:shd w:val="clear" w:color="auto" w:fill="FFFFFF"/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</w:p>
    <w:p w14:paraId="596CF293">
      <w:pPr>
        <w:pStyle w:val="8"/>
        <w:widowControl/>
        <w:shd w:val="clear" w:color="auto" w:fill="FFFFFF"/>
        <w:spacing w:line="578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一、基本要求</w:t>
      </w:r>
    </w:p>
    <w:p w14:paraId="09D6D495">
      <w:pPr>
        <w:pStyle w:val="8"/>
        <w:widowControl/>
        <w:numPr>
          <w:ilvl w:val="0"/>
          <w:numId w:val="0"/>
        </w:numPr>
        <w:shd w:val="clear" w:color="auto" w:fill="FFFFFF"/>
        <w:spacing w:line="578" w:lineRule="exact"/>
        <w:ind w:firstLine="640" w:firstLineChars="200"/>
        <w:rPr>
          <w:rFonts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用于申请毕设替代的高水平创新成果（以下简称“成果”）必须同时满足以下基本要求：</w:t>
      </w:r>
    </w:p>
    <w:p w14:paraId="5BC5EDD6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（一）成果须符合国家法律法规、公序良俗和学术规范，无知识产权纠纷。</w:t>
      </w:r>
    </w:p>
    <w:p w14:paraId="6D43EB49">
      <w:pPr>
        <w:pStyle w:val="8"/>
        <w:widowControl/>
        <w:shd w:val="clear" w:color="auto" w:fill="FFFFFF"/>
        <w:spacing w:line="578" w:lineRule="exact"/>
        <w:rPr>
          <w:rFonts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（二）成果须为学生在校就读期间取得，且第一完成单位为南京航空航天大学。</w:t>
      </w:r>
    </w:p>
    <w:p w14:paraId="6416D66C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（三）成果应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通过系统的科学研究、技术开发或工程实践获得，完整包含问题提出、方案设计、论证实施、分析总结等过程，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能有效体现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学生综合运用专业知识解决复杂问题的能力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，且与所在专业培养目标紧密相关。</w:t>
      </w:r>
    </w:p>
    <w:p w14:paraId="42CEBF19">
      <w:pPr>
        <w:widowControl/>
        <w:rPr>
          <w:rFonts w:ascii="仿宋_GB2312" w:hAnsi="宋体" w:eastAsia="仿宋_GB2312"/>
          <w:color w:val="000000"/>
          <w:kern w:val="0"/>
          <w:sz w:val="32"/>
          <w:szCs w:val="32"/>
        </w:rPr>
      </w:pPr>
      <w:r>
        <w:rPr>
          <w:rFonts w:ascii="仿宋_GB2312" w:hAnsi="宋体" w:eastAsia="仿宋_GB2312"/>
          <w:color w:val="000000"/>
          <w:kern w:val="0"/>
          <w:sz w:val="32"/>
          <w:szCs w:val="32"/>
        </w:rPr>
        <w:t>同一项成果仅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限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一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名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学生用于申请替代，多人共有成果须提供全体成果共有人签字确认的书面同意证明，方可提交申请。</w:t>
      </w:r>
    </w:p>
    <w:p w14:paraId="16AEF0E1">
      <w:pPr>
        <w:rPr>
          <w:rFonts w:hint="eastAsia" w:eastAsia="仿宋_GB2312"/>
          <w:lang w:eastAsia="zh-CN"/>
        </w:rPr>
      </w:pPr>
      <w:r>
        <w:rPr>
          <w:rFonts w:ascii="仿宋_GB2312" w:hAnsi="宋体" w:eastAsia="仿宋_GB2312"/>
          <w:color w:val="000000"/>
          <w:kern w:val="0"/>
          <w:sz w:val="32"/>
          <w:szCs w:val="32"/>
        </w:rPr>
        <w:t>已用于认定或替代其他课程学分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的成果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，不得重复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用于毕设替代申请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。</w:t>
      </w:r>
    </w:p>
    <w:p w14:paraId="75C42AE7">
      <w:pPr>
        <w:pStyle w:val="8"/>
        <w:widowControl/>
        <w:shd w:val="clear" w:color="auto" w:fill="FFFFFF"/>
        <w:spacing w:line="578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二、成果标准</w:t>
      </w:r>
    </w:p>
    <w:p w14:paraId="7E675D06">
      <w:pPr>
        <w:pStyle w:val="8"/>
        <w:widowControl/>
        <w:shd w:val="clear" w:color="auto" w:fill="FFFFFF"/>
        <w:spacing w:line="578" w:lineRule="exact"/>
        <w:rPr>
          <w:rFonts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学生须作为以下四类成果之一的核心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完成人，方可提出替代申请。仅承担资料收集、数据录入等辅助性工作的，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不具备申请资格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。</w:t>
      </w:r>
    </w:p>
    <w:p w14:paraId="3A4BDB63">
      <w:pPr>
        <w:pStyle w:val="8"/>
        <w:widowControl/>
        <w:shd w:val="clear" w:color="auto" w:fill="FFFFFF"/>
        <w:spacing w:line="578" w:lineRule="exact"/>
        <w:ind w:firstLine="643"/>
        <w:rPr>
          <w:rFonts w:ascii="仿宋_GB2312" w:hAnsi="宋体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</w:rPr>
        <w:t>（一）高水平竞赛获奖</w:t>
      </w:r>
    </w:p>
    <w:p w14:paraId="56FF0AF2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代表学校参加学校认定的Ⅰ级、Ⅱ级竞赛，获得Ⅰ级赛事第一、第二等次奖项，或Ⅱ级赛事最高等次奖项。团队项目仅限排名前2位成员中的1人申请。</w:t>
      </w:r>
    </w:p>
    <w:p w14:paraId="72000A62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相关证明材料：获奖证书扫描件、竞赛作品（论文/设计报告/研究报告）。</w:t>
      </w:r>
    </w:p>
    <w:p w14:paraId="7A850220">
      <w:pPr>
        <w:pStyle w:val="8"/>
        <w:widowControl/>
        <w:shd w:val="clear" w:color="auto" w:fill="FFFFFF"/>
        <w:spacing w:line="578" w:lineRule="exact"/>
        <w:rPr>
          <w:rFonts w:hint="default" w:ascii="仿宋_GB2312" w:hAnsi="宋体" w:eastAsia="仿宋_GB2312"/>
          <w:color w:val="000000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  <w:t>竞赛等级认定以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南京航空航天大学大学生竞赛级别认定汇总表（2024）-最终版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  <w:t>为准。</w:t>
      </w:r>
    </w:p>
    <w:p w14:paraId="23BFDE50">
      <w:pPr>
        <w:pStyle w:val="8"/>
        <w:widowControl/>
        <w:numPr>
          <w:ilvl w:val="0"/>
          <w:numId w:val="2"/>
        </w:numPr>
        <w:shd w:val="clear" w:color="auto" w:fill="FFFFFF"/>
        <w:spacing w:line="578" w:lineRule="exact"/>
        <w:ind w:firstLine="643"/>
        <w:rPr>
          <w:rFonts w:ascii="仿宋_GB2312" w:hAnsi="宋体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</w:rPr>
        <w:t>创新实践项目结题</w:t>
      </w:r>
    </w:p>
    <w:p w14:paraId="38CDB8FD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作为工作量排名第一的核心成员，参与国家级、省部级创新实践项目，其中国家级项目结题评价为良好及以上，省部级项目结题评价为优秀。</w:t>
      </w:r>
    </w:p>
    <w:p w14:paraId="4A22BCF1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相关证明材料：项目结题证书扫描件、研究报告等相关成果材料。</w:t>
      </w:r>
    </w:p>
    <w:p w14:paraId="6CD7C6E1">
      <w:pPr>
        <w:pStyle w:val="8"/>
        <w:widowControl/>
        <w:numPr>
          <w:ilvl w:val="0"/>
          <w:numId w:val="2"/>
        </w:numPr>
        <w:shd w:val="clear" w:color="auto" w:fill="FFFFFF"/>
        <w:spacing w:line="578" w:lineRule="exact"/>
        <w:ind w:firstLine="643"/>
        <w:rPr>
          <w:rFonts w:ascii="仿宋_GB2312" w:hAnsi="宋体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</w:rPr>
        <w:t>学术论文发表</w:t>
      </w:r>
    </w:p>
    <w:p w14:paraId="1F212062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以第一作者身份（若为共同第一作者，则仅限排序首位的作者），正式发表与本专业领域高度相关的高质量学术论文，包括学校认定的重要核心期刊论文、SCI/SSCI收录论文，或相当于同层次的论文。</w:t>
      </w:r>
      <w:bookmarkStart w:id="0" w:name="_GoBack"/>
      <w:bookmarkEnd w:id="0"/>
    </w:p>
    <w:p w14:paraId="4C1F5A08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相关证明材料：期刊扫描件（含封面、目录、论文正文、封底，需清晰体现期刊名称、发表时间、作者及单位信息）。</w:t>
      </w:r>
    </w:p>
    <w:p w14:paraId="348880A8">
      <w:pPr>
        <w:pStyle w:val="8"/>
        <w:widowControl/>
        <w:shd w:val="clear" w:color="auto" w:fill="FFFFFF"/>
        <w:spacing w:line="578" w:lineRule="exact"/>
        <w:rPr>
          <w:rFonts w:hint="default" w:ascii="仿宋_GB2312" w:hAnsi="宋体" w:eastAsia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  <w:t>论文等级标准以学校科研院网站最新公布为准。</w:t>
      </w:r>
    </w:p>
    <w:p w14:paraId="1574363D">
      <w:pPr>
        <w:pStyle w:val="8"/>
        <w:widowControl/>
        <w:shd w:val="clear" w:color="auto" w:fill="FFFFFF"/>
        <w:spacing w:line="578" w:lineRule="exact"/>
        <w:ind w:firstLine="643"/>
        <w:rPr>
          <w:rFonts w:ascii="仿宋_GB2312" w:hAnsi="宋体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</w:rPr>
        <w:t>（四）发明专利授权</w:t>
      </w:r>
    </w:p>
    <w:p w14:paraId="524EB169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作为第一发明人取得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国家知识产权局授权的发明专利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（不含实用新型、外观设计专利），专利技术内容与所学专业相关。</w:t>
      </w:r>
    </w:p>
    <w:p w14:paraId="6F92A1EA">
      <w:pPr>
        <w:pStyle w:val="8"/>
        <w:widowControl/>
        <w:shd w:val="clear" w:color="auto" w:fill="FFFFFF"/>
        <w:spacing w:line="578" w:lineRule="exact"/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相关证明材料：专利证书扫描件、专利说明书及附图。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97BD89"/>
    <w:multiLevelType w:val="multilevel"/>
    <w:tmpl w:val="9697BD89"/>
    <w:lvl w:ilvl="0" w:tentative="0">
      <w:start w:val="1"/>
      <w:numFmt w:val="chineseCountingThousand"/>
      <w:lvlText w:val="第%1章"/>
      <w:lvlJc w:val="left"/>
      <w:pPr>
        <w:ind w:left="0" w:firstLine="0"/>
      </w:pPr>
      <w:rPr>
        <w:rFonts w:hint="eastAsia" w:cs="宋体"/>
      </w:rPr>
    </w:lvl>
    <w:lvl w:ilvl="1" w:tentative="0">
      <w:start w:val="1"/>
      <w:numFmt w:val="chineseCountingThousand"/>
      <w:lvlRestart w:val="0"/>
      <w:pStyle w:val="3"/>
      <w:lvlText w:val="第%2条"/>
      <w:lvlJc w:val="left"/>
      <w:pPr>
        <w:ind w:left="525" w:firstLine="0"/>
      </w:pPr>
      <w:rPr>
        <w:rFonts w:hint="eastAsia" w:cs="宋体"/>
        <w:b/>
        <w:i w:val="0"/>
      </w:rPr>
    </w:lvl>
    <w:lvl w:ilvl="2" w:tentative="0">
      <w:start w:val="1"/>
      <w:numFmt w:val="chineseCountingThousand"/>
      <w:lvlText w:val="%3、"/>
      <w:lvlJc w:val="left"/>
      <w:pPr>
        <w:ind w:left="8216" w:firstLine="0"/>
      </w:pPr>
      <w:rPr>
        <w:rFonts w:hint="eastAsia" w:cs="宋体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 w:cs="宋体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cs="宋体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 w:cs="宋体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 w:cs="宋体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 w:cs="宋体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 w:cs="宋体"/>
      </w:rPr>
    </w:lvl>
  </w:abstractNum>
  <w:abstractNum w:abstractNumId="1">
    <w:nsid w:val="FF91F484"/>
    <w:multiLevelType w:val="singleLevel"/>
    <w:tmpl w:val="FF91F4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5EEB"/>
    <w:rsid w:val="036038D7"/>
    <w:rsid w:val="068D6C6F"/>
    <w:rsid w:val="075640C3"/>
    <w:rsid w:val="0E28100D"/>
    <w:rsid w:val="11FB19B6"/>
    <w:rsid w:val="15D418DD"/>
    <w:rsid w:val="1E2A5FF9"/>
    <w:rsid w:val="2A1A2F1D"/>
    <w:rsid w:val="2F575E37"/>
    <w:rsid w:val="301F5880"/>
    <w:rsid w:val="31957BAE"/>
    <w:rsid w:val="32B67A1F"/>
    <w:rsid w:val="3757620D"/>
    <w:rsid w:val="3ACC0BF2"/>
    <w:rsid w:val="412258F3"/>
    <w:rsid w:val="428D254A"/>
    <w:rsid w:val="43525542"/>
    <w:rsid w:val="533F6DA3"/>
    <w:rsid w:val="55C547D5"/>
    <w:rsid w:val="56063FF0"/>
    <w:rsid w:val="57945CD1"/>
    <w:rsid w:val="65113475"/>
    <w:rsid w:val="6C793E03"/>
    <w:rsid w:val="6D260D22"/>
    <w:rsid w:val="70F85492"/>
    <w:rsid w:val="7407365B"/>
    <w:rsid w:val="74460B51"/>
    <w:rsid w:val="7C91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Calibri" w:hAnsi="Calibri" w:eastAsia="仿宋" w:cs="Times New Roman"/>
      <w:kern w:val="2"/>
      <w:sz w:val="30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ind w:left="0" w:firstLine="0" w:firstLineChars="0"/>
      <w:jc w:val="center"/>
      <w:outlineLvl w:val="0"/>
    </w:pPr>
    <w:rPr>
      <w:rFonts w:eastAsia="方正小标宋简体"/>
      <w:bCs/>
      <w:kern w:val="44"/>
      <w:sz w:val="36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numPr>
        <w:ilvl w:val="1"/>
        <w:numId w:val="1"/>
      </w:numPr>
      <w:spacing w:line="560" w:lineRule="exact"/>
      <w:ind w:left="0"/>
      <w:outlineLvl w:val="1"/>
    </w:pPr>
    <w:rPr>
      <w:rFonts w:ascii="Calibri Light" w:hAnsi="Calibri Light" w:eastAsia="黑体" w:cs="宋体"/>
      <w:bCs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ind w:firstLine="602"/>
      <w:outlineLvl w:val="2"/>
    </w:pPr>
    <w:rPr>
      <w:rFonts w:eastAsia="楷体"/>
      <w:b/>
      <w:bCs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Arial" w:hAnsi="Arial"/>
      <w:b/>
      <w:sz w:val="30"/>
    </w:rPr>
  </w:style>
  <w:style w:type="paragraph" w:styleId="6">
    <w:name w:val="heading 5"/>
    <w:basedOn w:val="1"/>
    <w:next w:val="1"/>
    <w:link w:val="19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4"/>
    </w:pPr>
    <w:rPr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1"/>
    <w:basedOn w:val="2"/>
    <w:next w:val="1"/>
    <w:qFormat/>
    <w:uiPriority w:val="0"/>
    <w:pPr>
      <w:spacing w:line="240" w:lineRule="auto"/>
      <w:ind w:firstLine="0" w:firstLineChars="0"/>
      <w:jc w:val="both"/>
    </w:pPr>
    <w:rPr>
      <w:rFonts w:ascii="Times New Roman" w:hAnsi="Times New Roman" w:eastAsia="仿宋"/>
      <w:sz w:val="24"/>
    </w:rPr>
  </w:style>
  <w:style w:type="paragraph" w:styleId="8">
    <w:name w:val="Normal (Web)"/>
    <w:basedOn w:val="1"/>
    <w:qFormat/>
    <w:uiPriority w:val="0"/>
    <w:rPr>
      <w:sz w:val="24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FollowedHyperlink"/>
    <w:basedOn w:val="10"/>
    <w:qFormat/>
    <w:uiPriority w:val="0"/>
    <w:rPr>
      <w:color w:val="000000"/>
      <w:u w:val="none"/>
    </w:rPr>
  </w:style>
  <w:style w:type="character" w:styleId="13">
    <w:name w:val="HTML Definition"/>
    <w:basedOn w:val="10"/>
    <w:qFormat/>
    <w:uiPriority w:val="0"/>
  </w:style>
  <w:style w:type="character" w:styleId="14">
    <w:name w:val="Hyperlink"/>
    <w:basedOn w:val="10"/>
    <w:uiPriority w:val="0"/>
    <w:rPr>
      <w:color w:val="000000"/>
      <w:u w:val="none"/>
    </w:rPr>
  </w:style>
  <w:style w:type="character" w:styleId="15">
    <w:name w:val="HTML Code"/>
    <w:basedOn w:val="10"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10"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10"/>
    <w:uiPriority w:val="0"/>
    <w:rPr>
      <w:rFonts w:ascii="Consolas" w:hAnsi="Consolas" w:eastAsia="Consolas" w:cs="Consolas"/>
      <w:sz w:val="21"/>
      <w:szCs w:val="21"/>
    </w:rPr>
  </w:style>
  <w:style w:type="character" w:customStyle="1" w:styleId="18">
    <w:name w:val="标题 4 Char"/>
    <w:link w:val="5"/>
    <w:qFormat/>
    <w:uiPriority w:val="0"/>
    <w:rPr>
      <w:rFonts w:ascii="Arial" w:hAnsi="Arial" w:eastAsia="Calibri Light"/>
      <w:b/>
      <w:sz w:val="30"/>
    </w:rPr>
  </w:style>
  <w:style w:type="character" w:customStyle="1" w:styleId="19">
    <w:name w:val="标题 5 字符"/>
    <w:link w:val="6"/>
    <w:qFormat/>
    <w:uiPriority w:val="9"/>
    <w:rPr>
      <w:rFonts w:ascii="Times New Roman" w:hAnsi="Times New Roman" w:eastAsia="仿宋"/>
      <w:kern w:val="2"/>
      <w:sz w:val="24"/>
      <w:szCs w:val="22"/>
    </w:rPr>
  </w:style>
  <w:style w:type="character" w:customStyle="1" w:styleId="20">
    <w:name w:val="item-name"/>
    <w:basedOn w:val="10"/>
    <w:uiPriority w:val="0"/>
  </w:style>
  <w:style w:type="character" w:customStyle="1" w:styleId="21">
    <w:name w:val="item-name1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874</Characters>
  <Lines>0</Lines>
  <Paragraphs>0</Paragraphs>
  <TotalTime>38</TotalTime>
  <ScaleCrop>false</ScaleCrop>
  <LinksUpToDate>false</LinksUpToDate>
  <CharactersWithSpaces>874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2024-11-25T03:31:00Z</dcterms:created>
  <dc:creator>Gaojue</dc:creator>
  <cp:lastModifiedBy>高珏</cp:lastModifiedBy>
  <dcterms:modified xsi:type="dcterms:W3CDTF">2026-10-12T07:07:45Z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FC3B84BAE43C4FB9919DBB49025D1C06_12</vt:lpwstr>
  </property>
  <property fmtid="{D5CDD505-2E9C-101B-9397-08002B2CF9AE}" pid="4" name="KSOTemplateDocerSaveRecord">
    <vt:lpwstr>eyJoZGlkIjoiMjFhZjIxZWFhYmJhNTczYjE5NzNmZTAyMTgxNDMzMWQiLCJ1c2VySWQiOiIyNDY3OTAyNTMifQ==</vt:lpwstr>
  </property>
</Properties>
</file>