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AF2E4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7FF88A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61D36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23007"/>
      <w:bookmarkStart w:id="1" w:name="_Toc31792"/>
      <w:bookmarkStart w:id="2" w:name="_Toc32670"/>
      <w:bookmarkStart w:id="3" w:name="_Toc16417"/>
      <w:bookmarkStart w:id="4" w:name="_Toc1056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学生操作指南</w:t>
      </w:r>
    </w:p>
    <w:p w14:paraId="02919B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285A02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411AB4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186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551F083E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2BCFA58E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_Toc16566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_Toc16566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A75721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_Toc20699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1.1.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_Toc20699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F258C0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_Toc11359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1.2.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_Toc11359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9CA2A5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_Toc31917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 </w:t>
          </w:r>
          <w:r>
            <w:rPr>
              <w:rFonts w:hint="eastAsia" w:cs="仿宋"/>
              <w:highlight w:val="none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_Toc31917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2D5EFD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_Toc3876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1.3.1. </w:t>
          </w:r>
          <w:r>
            <w:rPr>
              <w:rFonts w:hint="eastAsia"/>
              <w:highlight w:val="none"/>
              <w:lang w:val="en-US" w:eastAsia="zh-CN"/>
            </w:rPr>
            <w:t>申报入口</w:t>
          </w:r>
          <w:r>
            <w:tab/>
          </w:r>
          <w:r>
            <w:fldChar w:fldCharType="begin"/>
          </w:r>
          <w:r>
            <w:instrText xml:space="preserve"> PAGEREF _Toc3876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61D77E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_Toc2506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1.3.2. </w:t>
          </w:r>
          <w:r>
            <w:rPr>
              <w:rFonts w:hint="eastAsia"/>
              <w:highlight w:val="none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_Toc2506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D6E922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_Toc3877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1.3.3. </w:t>
          </w:r>
          <w:r>
            <w:rPr>
              <w:rFonts w:hint="eastAsia"/>
              <w:highlight w:val="none"/>
              <w:lang w:val="en-US" w:eastAsia="zh-CN"/>
            </w:rPr>
            <w:t>综合统计/快捷入口</w:t>
          </w:r>
          <w:r>
            <w:tab/>
          </w:r>
          <w:r>
            <w:fldChar w:fldCharType="begin"/>
          </w:r>
          <w:r>
            <w:instrText xml:space="preserve"> PAGEREF _Toc3877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C0D610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_Toc15586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1.3.4. </w:t>
          </w:r>
          <w:r>
            <w:rPr>
              <w:rFonts w:hint="eastAsia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_Toc15586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34D832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_Toc24884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1.3.5. </w:t>
          </w:r>
          <w:r>
            <w:rPr>
              <w:rFonts w:hint="eastAsia"/>
              <w:highlight w:val="none"/>
              <w:lang w:val="en-US" w:eastAsia="zh-CN"/>
            </w:rPr>
            <w:t>能力评价</w:t>
          </w:r>
          <w:bookmarkStart w:id="101" w:name="_GoBack"/>
          <w:bookmarkEnd w:id="101"/>
          <w:r>
            <w:tab/>
          </w:r>
          <w:r>
            <w:fldChar w:fldCharType="begin"/>
          </w:r>
          <w:r>
            <w:instrText xml:space="preserve"> PAGEREF _Toc24884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1D60C66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_Toc30417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_Toc30417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DF78C0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_Toc19627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cs="仿宋"/>
              <w:lang w:val="en-US" w:eastAsia="zh-CN"/>
            </w:rPr>
            <w:t>进入科创项目管理系统</w:t>
          </w:r>
          <w:r>
            <w:tab/>
          </w:r>
          <w:r>
            <w:fldChar w:fldCharType="begin"/>
          </w:r>
          <w:r>
            <w:instrText xml:space="preserve"> PAGEREF _Toc19627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4DC1E2E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_Toc27578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 </w:t>
          </w:r>
          <w:r>
            <w:rPr>
              <w:rFonts w:hint="eastAsia" w:ascii="仿宋" w:hAnsi="仿宋" w:eastAsia="仿宋" w:cs="仿宋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_Toc27578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43F0C3E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_Toc16042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 </w:t>
          </w:r>
          <w:r>
            <w:rPr>
              <w:rFonts w:hint="eastAsia" w:ascii="仿宋" w:hAnsi="仿宋" w:eastAsia="仿宋" w:cs="仿宋"/>
              <w:lang w:val="en-US" w:eastAsia="zh-CN"/>
            </w:rPr>
            <w:t>项目立项申报</w:t>
          </w:r>
          <w:r>
            <w:tab/>
          </w:r>
          <w:r>
            <w:fldChar w:fldCharType="begin"/>
          </w:r>
          <w:r>
            <w:instrText xml:space="preserve"> PAGEREF _Toc16042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759119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_Toc16307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2.3.1. </w:t>
          </w:r>
          <w:r>
            <w:rPr>
              <w:rFonts w:hint="eastAsia" w:ascii="仿宋" w:hAnsi="仿宋" w:eastAsia="仿宋" w:cs="仿宋"/>
              <w:lang w:val="en-US" w:eastAsia="zh-CN"/>
            </w:rPr>
            <w:t>进入立项填报页面</w:t>
          </w:r>
          <w:r>
            <w:tab/>
          </w:r>
          <w:r>
            <w:fldChar w:fldCharType="begin"/>
          </w:r>
          <w:r>
            <w:instrText xml:space="preserve"> PAGEREF _Toc16307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367BB6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_Toc28794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2.3.2. </w:t>
          </w:r>
          <w:r>
            <w:rPr>
              <w:rFonts w:hint="eastAsia" w:ascii="仿宋" w:hAnsi="仿宋" w:eastAsia="仿宋" w:cs="仿宋"/>
              <w:lang w:val="en-US" w:eastAsia="zh-CN"/>
            </w:rPr>
            <w:t>查看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填报指南</w:t>
          </w:r>
          <w:r>
            <w:tab/>
          </w:r>
          <w:r>
            <w:fldChar w:fldCharType="begin"/>
          </w:r>
          <w:r>
            <w:instrText xml:space="preserve"> PAGEREF _Toc28794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47CEEC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_Toc7724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2.3.3.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项目信息填写</w:t>
          </w:r>
          <w:r>
            <w:tab/>
          </w:r>
          <w:r>
            <w:fldChar w:fldCharType="begin"/>
          </w:r>
          <w:r>
            <w:instrText xml:space="preserve"> PAGEREF _Toc7724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ECAD24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_Toc500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2.3.4. </w:t>
          </w:r>
          <w:r>
            <w:rPr>
              <w:rFonts w:hint="eastAsia" w:ascii="仿宋" w:hAnsi="仿宋" w:eastAsia="仿宋" w:cs="仿宋"/>
              <w:lang w:val="en-US" w:eastAsia="zh-CN"/>
            </w:rPr>
            <w:t>项目成员</w:t>
          </w:r>
          <w:r>
            <w:rPr>
              <w:rFonts w:hint="eastAsia" w:cs="仿宋"/>
              <w:lang w:val="en-US" w:eastAsia="zh-CN"/>
            </w:rPr>
            <w:t>选择</w:t>
          </w:r>
          <w:r>
            <w:tab/>
          </w:r>
          <w:r>
            <w:fldChar w:fldCharType="begin"/>
          </w:r>
          <w:r>
            <w:instrText xml:space="preserve"> PAGEREF _Toc500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2A42B8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_Toc18743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2.3.5.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_Toc18743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4B7E0E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_Toc12303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2.3.6. </w:t>
          </w:r>
          <w:r>
            <w:rPr>
              <w:rFonts w:hint="eastAsia" w:ascii="仿宋" w:hAnsi="仿宋" w:eastAsia="仿宋" w:cs="仿宋"/>
              <w:lang w:val="en-US" w:eastAsia="zh-CN"/>
            </w:rPr>
            <w:t>经费预算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_Toc12303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6FD6CE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_Toc18516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2.3.7.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申报</w:t>
          </w:r>
          <w:r>
            <w:tab/>
          </w:r>
          <w:r>
            <w:fldChar w:fldCharType="begin"/>
          </w:r>
          <w:r>
            <w:instrText xml:space="preserve"> PAGEREF _Toc18516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1CC2D39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_Toc20748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 </w:t>
          </w:r>
          <w:r>
            <w:rPr>
              <w:rFonts w:hint="eastAsia" w:ascii="仿宋" w:hAnsi="仿宋" w:eastAsia="仿宋" w:cs="仿宋"/>
              <w:lang w:val="en-US" w:eastAsia="zh-CN"/>
            </w:rPr>
            <w:t>查看项目详情</w:t>
          </w:r>
          <w:r>
            <w:rPr>
              <w:rFonts w:hint="eastAsia" w:cs="仿宋"/>
              <w:lang w:val="en-US" w:eastAsia="zh-CN"/>
            </w:rPr>
            <w:t>及往期项目</w:t>
          </w:r>
          <w:r>
            <w:tab/>
          </w:r>
          <w:r>
            <w:fldChar w:fldCharType="begin"/>
          </w:r>
          <w:r>
            <w:instrText xml:space="preserve"> PAGEREF _Toc20748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7B8098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_Toc23162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 </w:t>
          </w:r>
          <w:r>
            <w:rPr>
              <w:rFonts w:hint="eastAsia" w:ascii="仿宋" w:hAnsi="仿宋" w:eastAsia="仿宋" w:cs="仿宋"/>
              <w:lang w:val="en-US" w:eastAsia="zh-CN"/>
            </w:rPr>
            <w:t>学生提交</w:t>
          </w:r>
          <w:r>
            <w:rPr>
              <w:rFonts w:hint="eastAsia" w:cs="仿宋"/>
              <w:lang w:val="en-US" w:eastAsia="zh-CN"/>
            </w:rPr>
            <w:t>初期检查/中期检查/</w:t>
          </w:r>
          <w:r>
            <w:rPr>
              <w:rFonts w:hint="eastAsia" w:ascii="仿宋" w:hAnsi="仿宋" w:eastAsia="仿宋" w:cs="仿宋"/>
              <w:lang w:val="en-US" w:eastAsia="zh-CN"/>
            </w:rPr>
            <w:t>结题验收材料</w:t>
          </w:r>
          <w:r>
            <w:tab/>
          </w:r>
          <w:r>
            <w:fldChar w:fldCharType="begin"/>
          </w:r>
          <w:r>
            <w:instrText xml:space="preserve"> PAGEREF _Toc23162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EEC36A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_Toc19163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2.5.1. </w:t>
          </w:r>
          <w:r>
            <w:rPr>
              <w:rFonts w:hint="eastAsia" w:ascii="仿宋" w:hAnsi="仿宋" w:eastAsia="仿宋" w:cs="仿宋"/>
              <w:lang w:val="en-US" w:eastAsia="zh-CN"/>
            </w:rPr>
            <w:t>进入提交材料填报页面</w:t>
          </w:r>
          <w:r>
            <w:tab/>
          </w:r>
          <w:r>
            <w:fldChar w:fldCharType="begin"/>
          </w:r>
          <w:r>
            <w:instrText xml:space="preserve"> PAGEREF _Toc19163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300611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_Toc11625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2.5.2. </w:t>
          </w:r>
          <w:r>
            <w:rPr>
              <w:rFonts w:hint="eastAsia" w:ascii="仿宋" w:hAnsi="仿宋" w:eastAsia="仿宋" w:cs="仿宋"/>
              <w:lang w:val="en-US" w:eastAsia="zh-CN"/>
            </w:rPr>
            <w:t>变更项目</w:t>
          </w:r>
          <w:r>
            <w:rPr>
              <w:rFonts w:hint="eastAsia" w:cs="仿宋"/>
              <w:lang w:val="en-US" w:eastAsia="zh-CN"/>
            </w:rPr>
            <w:t>成员和</w:t>
          </w:r>
          <w:r>
            <w:rPr>
              <w:rFonts w:hint="eastAsia" w:ascii="仿宋" w:hAnsi="仿宋" w:eastAsia="仿宋" w:cs="仿宋"/>
              <w:lang w:val="en-US" w:eastAsia="zh-CN"/>
            </w:rPr>
            <w:t>信息</w:t>
          </w:r>
          <w:r>
            <w:rPr>
              <w:rFonts w:hint="eastAsia" w:cs="仿宋"/>
              <w:highlight w:val="yellow"/>
              <w:lang w:val="en-US" w:eastAsia="zh-CN"/>
            </w:rPr>
            <w:t>（仅限初期检查/中期检查）</w:t>
          </w:r>
          <w:r>
            <w:tab/>
          </w:r>
          <w:r>
            <w:fldChar w:fldCharType="begin"/>
          </w:r>
          <w:r>
            <w:instrText xml:space="preserve"> PAGEREF _Toc11625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0D13E2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_Toc7584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2.5.3. </w:t>
          </w:r>
          <w:r>
            <w:rPr>
              <w:rFonts w:hint="eastAsia" w:cs="仿宋"/>
              <w:lang w:val="en-US" w:eastAsia="zh-CN"/>
            </w:rPr>
            <w:t>初期检查/中期检查/结题验收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tab/>
          </w:r>
          <w:r>
            <w:fldChar w:fldCharType="begin"/>
          </w:r>
          <w:r>
            <w:instrText xml:space="preserve"> PAGEREF _Toc7584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96625F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_Toc11401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2.5.4. </w:t>
          </w:r>
          <w:r>
            <w:rPr>
              <w:rFonts w:hint="eastAsia" w:cs="仿宋"/>
              <w:lang w:val="en-US" w:eastAsia="zh-CN"/>
            </w:rPr>
            <w:t>结题验收成果统计</w:t>
          </w:r>
          <w:r>
            <w:tab/>
          </w:r>
          <w:r>
            <w:fldChar w:fldCharType="begin"/>
          </w:r>
          <w:r>
            <w:instrText xml:space="preserve"> PAGEREF _Toc11401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7F7BDD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_Toc11150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2.5.5. </w:t>
          </w:r>
          <w:r>
            <w:rPr>
              <w:rFonts w:hint="eastAsia" w:ascii="仿宋" w:hAnsi="仿宋" w:eastAsia="仿宋" w:cs="仿宋"/>
              <w:lang w:val="en-US" w:eastAsia="zh-CN"/>
            </w:rPr>
            <w:t>经费使用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_Toc11150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6937CC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_Toc3055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2.5.6.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</w:t>
          </w:r>
          <w:r>
            <w:rPr>
              <w:rFonts w:hint="eastAsia" w:cs="仿宋"/>
              <w:lang w:val="en-US" w:eastAsia="zh-CN"/>
            </w:rPr>
            <w:t xml:space="preserve"> 初期检查/中期检查/结题验收材料申报</w:t>
          </w:r>
          <w:r>
            <w:tab/>
          </w:r>
          <w:r>
            <w:fldChar w:fldCharType="begin"/>
          </w:r>
          <w:r>
            <w:instrText xml:space="preserve"> PAGEREF _Toc3055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DDE1C6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_Toc28785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2.5.7. </w:t>
          </w:r>
          <w:r>
            <w:rPr>
              <w:rFonts w:hint="eastAsia" w:cs="仿宋"/>
              <w:lang w:val="en-US" w:eastAsia="zh-CN"/>
            </w:rPr>
            <w:t>申请项目中止</w:t>
          </w:r>
          <w:r>
            <w:tab/>
          </w:r>
          <w:r>
            <w:fldChar w:fldCharType="begin"/>
          </w:r>
          <w:r>
            <w:instrText xml:space="preserve"> PAGEREF _Toc28785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07AE50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_Toc6191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2.5.8. </w:t>
          </w:r>
          <w:r>
            <w:rPr>
              <w:rFonts w:hint="eastAsia"/>
              <w:highlight w:val="none"/>
              <w:lang w:val="en-US" w:eastAsia="zh-CN"/>
            </w:rPr>
            <w:t>申请项目延期（</w:t>
          </w:r>
          <w:r>
            <w:rPr>
              <w:rFonts w:hint="eastAsia"/>
              <w:highlight w:val="yellow"/>
              <w:lang w:val="en-US" w:eastAsia="zh-CN"/>
            </w:rPr>
            <w:t>仅限结题验收</w:t>
          </w:r>
          <w:r>
            <w:rPr>
              <w:rFonts w:hint="eastAsia"/>
              <w:highlight w:val="none"/>
              <w:lang w:val="en-US" w:eastAsia="zh-CN"/>
            </w:rPr>
            <w:t>）</w:t>
          </w:r>
          <w:r>
            <w:tab/>
          </w:r>
          <w:r>
            <w:fldChar w:fldCharType="begin"/>
          </w:r>
          <w:r>
            <w:instrText xml:space="preserve"> PAGEREF _Toc6191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34C848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_Toc11925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2.5.9. </w:t>
          </w:r>
          <w:r>
            <w:rPr>
              <w:rFonts w:hint="eastAsia" w:cs="仿宋"/>
              <w:lang w:val="en-US" w:eastAsia="zh-CN"/>
            </w:rPr>
            <w:t>下载结题证书</w:t>
          </w:r>
          <w:r>
            <w:tab/>
          </w:r>
          <w:r>
            <w:fldChar w:fldCharType="begin"/>
          </w:r>
          <w:r>
            <w:instrText xml:space="preserve"> PAGEREF _Toc11925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4B630F1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 w14:paraId="760C68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sectPr>
          <w:footerReference r:id="rId5" w:type="default"/>
          <w:pgSz w:w="11906" w:h="16838"/>
          <w:pgMar w:top="1247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46C7AB27">
      <w:pPr>
        <w:pStyle w:val="2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5" w:name="_Toc17901"/>
      <w:bookmarkStart w:id="6" w:name="_Toc3527"/>
      <w:bookmarkStart w:id="7" w:name="_Toc6425"/>
      <w:bookmarkStart w:id="8" w:name="_Toc16566"/>
      <w:r>
        <w:rPr>
          <w:rFonts w:hint="eastAsia" w:ascii="仿宋" w:hAnsi="仿宋" w:eastAsia="仿宋" w:cs="仿宋"/>
          <w:highlight w:val="none"/>
          <w:lang w:val="en-US" w:eastAsia="zh-CN"/>
        </w:rPr>
        <w:t>信息门户</w:t>
      </w:r>
      <w:bookmarkEnd w:id="5"/>
      <w:bookmarkEnd w:id="6"/>
      <w:bookmarkEnd w:id="7"/>
      <w:bookmarkEnd w:id="8"/>
    </w:p>
    <w:p w14:paraId="27655E2E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9" w:name="_Toc2424"/>
      <w:bookmarkStart w:id="10" w:name="_Toc7291"/>
      <w:bookmarkStart w:id="11" w:name="_Toc9129"/>
      <w:bookmarkStart w:id="12" w:name="_Toc20699"/>
      <w:r>
        <w:rPr>
          <w:rFonts w:hint="eastAsia" w:ascii="仿宋" w:hAnsi="仿宋" w:eastAsia="仿宋" w:cs="仿宋"/>
          <w:highlight w:val="none"/>
          <w:lang w:val="en-US" w:eastAsia="zh-CN"/>
        </w:rPr>
        <w:t>输入网址进入信息门户</w:t>
      </w:r>
      <w:bookmarkEnd w:id="9"/>
      <w:bookmarkEnd w:id="10"/>
      <w:bookmarkEnd w:id="11"/>
      <w:bookmarkEnd w:id="12"/>
    </w:p>
    <w:p w14:paraId="33EB36B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，进入创新实践管理平台首页；</w:t>
      </w:r>
    </w:p>
    <w:p w14:paraId="2A1AA79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60975" cy="3313430"/>
            <wp:effectExtent l="0" t="0" r="9525" b="127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74CF2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13" w:name="_Toc25640"/>
      <w:bookmarkStart w:id="14" w:name="_Toc2943"/>
      <w:bookmarkStart w:id="15" w:name="_Toc12425"/>
      <w:bookmarkStart w:id="16" w:name="_Toc11359"/>
      <w:r>
        <w:rPr>
          <w:rFonts w:hint="eastAsia" w:ascii="仿宋" w:hAnsi="仿宋" w:eastAsia="仿宋" w:cs="仿宋"/>
          <w:highlight w:val="none"/>
          <w:lang w:val="en-US" w:eastAsia="zh-CN"/>
        </w:rPr>
        <w:t>通过南航教务系统进行登录</w:t>
      </w:r>
      <w:bookmarkEnd w:id="13"/>
      <w:bookmarkEnd w:id="14"/>
      <w:bookmarkEnd w:id="15"/>
      <w:bookmarkEnd w:id="16"/>
    </w:p>
    <w:p w14:paraId="47D1796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首先，进入南航教务处官网首页，在页面中找到“创新实践管理平台”快捷入口，点击进入创新实践管理平台首页，点击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右上角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“登录”按钮，进入统一身份认证登录页面。</w:t>
      </w:r>
    </w:p>
    <w:p w14:paraId="61FCE67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rFonts w:hint="eastAsia" w:ascii="仿宋" w:hAnsi="仿宋" w:eastAsia="仿宋" w:cs="仿宋"/>
          <w:highlight w:val="none"/>
        </w:rP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B18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0975" cy="3313430"/>
            <wp:effectExtent l="0" t="0" r="9525" b="127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DEA7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学生输入自己的账号密码后，点击“登录”按钮，即可进入信息门户。</w:t>
      </w:r>
    </w:p>
    <w:p w14:paraId="05A7A5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CC849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17" w:name="_Toc19512"/>
      <w:bookmarkStart w:id="18" w:name="_Toc27638"/>
      <w:bookmarkStart w:id="19" w:name="_Toc23570"/>
      <w:bookmarkStart w:id="20" w:name="_Toc31917"/>
      <w:r>
        <w:rPr>
          <w:rFonts w:hint="eastAsia" w:cs="仿宋"/>
          <w:highlight w:val="none"/>
          <w:lang w:val="en-US" w:eastAsia="zh-CN"/>
        </w:rPr>
        <w:t>信息门户详情</w:t>
      </w:r>
      <w:bookmarkEnd w:id="17"/>
      <w:bookmarkEnd w:id="18"/>
      <w:bookmarkEnd w:id="19"/>
      <w:bookmarkEnd w:id="20"/>
    </w:p>
    <w:p w14:paraId="13CEE9B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53355" cy="2771775"/>
            <wp:effectExtent l="0" t="0" r="4445" b="9525"/>
            <wp:docPr id="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AD4C9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21" w:name="_Toc18811"/>
      <w:bookmarkStart w:id="22" w:name="_Toc21167"/>
      <w:bookmarkStart w:id="23" w:name="_Toc28810"/>
      <w:bookmarkStart w:id="24" w:name="_Toc3260"/>
      <w:bookmarkStart w:id="25" w:name="_Toc6710"/>
      <w:bookmarkStart w:id="26" w:name="_Toc3876"/>
      <w:r>
        <w:rPr>
          <w:rFonts w:hint="eastAsia"/>
          <w:highlight w:val="none"/>
          <w:lang w:val="en-US" w:eastAsia="zh-CN"/>
        </w:rPr>
        <w:t>申报入口</w:t>
      </w:r>
      <w:bookmarkEnd w:id="21"/>
      <w:bookmarkEnd w:id="22"/>
      <w:bookmarkEnd w:id="23"/>
      <w:bookmarkEnd w:id="24"/>
      <w:bookmarkEnd w:id="25"/>
      <w:bookmarkEnd w:id="26"/>
    </w:p>
    <w:p w14:paraId="14CB25D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上方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申报入口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，显示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当前学生可申报的科创项目、学生竞赛、活动讲座、资质作品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76283A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150" cy="730885"/>
            <wp:effectExtent l="0" t="0" r="6350" b="571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3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5B304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27" w:name="_Toc22268"/>
      <w:bookmarkStart w:id="28" w:name="_Toc24016"/>
      <w:bookmarkStart w:id="29" w:name="_Toc1996"/>
      <w:bookmarkStart w:id="30" w:name="_Toc1341"/>
      <w:bookmarkStart w:id="31" w:name="_Toc4615"/>
      <w:bookmarkStart w:id="32" w:name="_Toc2506"/>
      <w:r>
        <w:rPr>
          <w:rFonts w:hint="eastAsia"/>
          <w:highlight w:val="none"/>
          <w:lang w:val="en-US" w:eastAsia="zh-CN"/>
        </w:rPr>
        <w:t>个人信息面板</w:t>
      </w:r>
      <w:bookmarkEnd w:id="27"/>
      <w:bookmarkEnd w:id="28"/>
      <w:bookmarkEnd w:id="29"/>
      <w:bookmarkEnd w:id="30"/>
      <w:bookmarkEnd w:id="31"/>
      <w:bookmarkEnd w:id="32"/>
    </w:p>
    <w:p w14:paraId="3C6EC54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信息门户首页左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侧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板块为个人信息面板，显示学生个人信息。</w:t>
      </w:r>
    </w:p>
    <w:p w14:paraId="2436BD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5420" cy="1722120"/>
            <wp:effectExtent l="0" t="0" r="508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C4A1A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33" w:name="_Toc30309"/>
      <w:bookmarkStart w:id="34" w:name="_Toc32316"/>
      <w:bookmarkStart w:id="35" w:name="_Toc24023"/>
      <w:bookmarkStart w:id="36" w:name="_Toc14105"/>
      <w:bookmarkStart w:id="37" w:name="_Toc25279"/>
      <w:bookmarkStart w:id="38" w:name="_Toc3877"/>
      <w:r>
        <w:rPr>
          <w:rFonts w:hint="eastAsia"/>
          <w:highlight w:val="none"/>
          <w:lang w:val="en-US" w:eastAsia="zh-CN"/>
        </w:rPr>
        <w:t>综合统计</w:t>
      </w:r>
      <w:bookmarkEnd w:id="33"/>
      <w:bookmarkEnd w:id="34"/>
      <w:bookmarkEnd w:id="35"/>
      <w:r>
        <w:rPr>
          <w:rFonts w:hint="eastAsia"/>
          <w:highlight w:val="none"/>
          <w:lang w:val="en-US" w:eastAsia="zh-CN"/>
        </w:rPr>
        <w:t>/快捷入口</w:t>
      </w:r>
      <w:bookmarkEnd w:id="36"/>
      <w:bookmarkEnd w:id="37"/>
      <w:bookmarkEnd w:id="38"/>
    </w:p>
    <w:p w14:paraId="16938BE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信息门户首页右侧板块为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数据统计板块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，点击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统计数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可进入相应系统。</w:t>
      </w:r>
    </w:p>
    <w:p w14:paraId="71DB9CA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7960" cy="1447800"/>
            <wp:effectExtent l="0" t="0" r="2540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5A52E">
      <w:pPr>
        <w:pStyle w:val="5"/>
        <w:bidi w:val="0"/>
        <w:rPr>
          <w:rFonts w:hint="eastAsia"/>
          <w:lang w:val="en-US" w:eastAsia="zh-CN"/>
        </w:rPr>
      </w:pPr>
      <w:bookmarkStart w:id="39" w:name="_Toc404"/>
      <w:bookmarkStart w:id="40" w:name="_Toc21065"/>
      <w:bookmarkStart w:id="41" w:name="_Toc4403"/>
      <w:bookmarkStart w:id="42" w:name="_Toc12146"/>
      <w:bookmarkStart w:id="43" w:name="_Toc20883"/>
      <w:bookmarkStart w:id="44" w:name="_Toc15586"/>
      <w:r>
        <w:rPr>
          <w:rFonts w:hint="eastAsia"/>
          <w:lang w:val="en-US" w:eastAsia="zh-CN"/>
        </w:rPr>
        <w:t>任务面板</w:t>
      </w:r>
      <w:bookmarkEnd w:id="39"/>
      <w:bookmarkEnd w:id="40"/>
      <w:bookmarkEnd w:id="41"/>
      <w:bookmarkEnd w:id="42"/>
      <w:bookmarkEnd w:id="43"/>
      <w:bookmarkEnd w:id="44"/>
    </w:p>
    <w:p w14:paraId="214802E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信息门户首页左下角板块为任务面板，可查看或快速操作相应项目。</w:t>
      </w:r>
    </w:p>
    <w:p w14:paraId="3B4488D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72405" cy="2089785"/>
            <wp:effectExtent l="0" t="0" r="10795" b="571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9D6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点击任务板中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相应的系统板块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按钮，可切换查看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系统的任务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713DA1F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3040" cy="1146810"/>
            <wp:effectExtent l="0" t="0" r="1016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F339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点击“查看详情”按钮可进入相应项目详情页，待提交检查材料的项目会显示“提交材料”按钮，点击“提交材料”按钮可进行相应项目的材料提交。</w:t>
      </w:r>
    </w:p>
    <w:p w14:paraId="1605CBB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9865" cy="2722245"/>
            <wp:effectExtent l="0" t="0" r="635" b="8255"/>
            <wp:docPr id="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50559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45" w:name="_Toc3730"/>
      <w:bookmarkStart w:id="46" w:name="_Toc8312"/>
      <w:bookmarkStart w:id="47" w:name="_Toc795"/>
      <w:bookmarkStart w:id="48" w:name="_Toc5011"/>
      <w:bookmarkStart w:id="49" w:name="_Toc7762"/>
      <w:bookmarkStart w:id="50" w:name="_Toc24884"/>
      <w:r>
        <w:rPr>
          <w:rFonts w:hint="eastAsia"/>
          <w:highlight w:val="none"/>
          <w:lang w:val="en-US" w:eastAsia="zh-CN"/>
        </w:rPr>
        <w:t>能力评价</w:t>
      </w:r>
      <w:bookmarkEnd w:id="45"/>
      <w:bookmarkEnd w:id="46"/>
      <w:bookmarkEnd w:id="47"/>
      <w:bookmarkEnd w:id="48"/>
      <w:bookmarkEnd w:id="49"/>
      <w:bookmarkEnd w:id="50"/>
    </w:p>
    <w:p w14:paraId="38BC87B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信息门户首页右下角为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学生能力评价，可查看学生的参与项目情况与获得积分情况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27FB418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64785" cy="2837180"/>
            <wp:effectExtent l="0" t="0" r="5715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rcRect b="2540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E082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highlight w:val="none"/>
        </w:rPr>
      </w:pPr>
    </w:p>
    <w:p w14:paraId="342A0D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</w:rPr>
      </w:pPr>
    </w:p>
    <w:p w14:paraId="4BC69549">
      <w:pPr>
        <w:rPr>
          <w:rFonts w:hint="eastAsia" w:ascii="仿宋" w:hAnsi="仿宋" w:eastAsia="仿宋" w:cs="仿宋"/>
          <w:lang w:val="en-US" w:eastAsia="zh-CN"/>
        </w:rPr>
      </w:pPr>
      <w:bookmarkStart w:id="51" w:name="_Toc19453"/>
      <w:r>
        <w:rPr>
          <w:rFonts w:hint="eastAsia" w:ascii="仿宋" w:hAnsi="仿宋" w:eastAsia="仿宋" w:cs="仿宋"/>
          <w:lang w:val="en-US" w:eastAsia="zh-CN"/>
        </w:rPr>
        <w:br w:type="page"/>
      </w:r>
    </w:p>
    <w:p w14:paraId="5DABA3C7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52" w:name="_Toc30417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51"/>
      <w:bookmarkEnd w:id="52"/>
    </w:p>
    <w:p w14:paraId="2B767CC8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53" w:name="_Toc19627"/>
      <w:r>
        <w:rPr>
          <w:rFonts w:hint="eastAsia" w:cs="仿宋"/>
          <w:lang w:val="en-US" w:eastAsia="zh-CN"/>
        </w:rPr>
        <w:t>进入科创项目管理系统</w:t>
      </w:r>
      <w:bookmarkEnd w:id="53"/>
    </w:p>
    <w:p w14:paraId="142D47E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cs="仿宋"/>
          <w:sz w:val="28"/>
          <w:szCs w:val="28"/>
          <w:lang w:val="en-US" w:eastAsia="zh-CN"/>
        </w:rPr>
        <w:t>右上角菜单按钮，进入菜单页面，点击“科创项目”按钮，进入科创项目管理系统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0C9A1C92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72405" cy="1311910"/>
            <wp:effectExtent l="0" t="0" r="10795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901825"/>
            <wp:effectExtent l="0" t="0" r="10795" b="317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03FC9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0340" cy="2688590"/>
            <wp:effectExtent l="0" t="0" r="10160" b="3810"/>
            <wp:docPr id="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3CD73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54" w:name="_Toc20339"/>
      <w:bookmarkStart w:id="55" w:name="_Toc27578"/>
      <w:r>
        <w:rPr>
          <w:rFonts w:hint="eastAsia" w:ascii="仿宋" w:hAnsi="仿宋" w:eastAsia="仿宋" w:cs="仿宋"/>
          <w:lang w:val="en-US" w:eastAsia="zh-CN"/>
        </w:rPr>
        <w:t>项目状态筛选</w:t>
      </w:r>
      <w:bookmarkEnd w:id="54"/>
      <w:bookmarkEnd w:id="55"/>
    </w:p>
    <w:p w14:paraId="7B4FAAE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751FAF5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71135" cy="1903730"/>
            <wp:effectExtent l="0" t="0" r="12065" b="1270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rcRect t="22607" b="7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D8D5E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56" w:name="_Toc1828"/>
      <w:bookmarkStart w:id="57" w:name="_Toc16042"/>
      <w:r>
        <w:rPr>
          <w:rFonts w:hint="eastAsia" w:ascii="仿宋" w:hAnsi="仿宋" w:eastAsia="仿宋" w:cs="仿宋"/>
          <w:lang w:val="en-US" w:eastAsia="zh-CN"/>
        </w:rPr>
        <w:t>项目立项申报</w:t>
      </w:r>
      <w:bookmarkEnd w:id="56"/>
      <w:bookmarkEnd w:id="57"/>
    </w:p>
    <w:p w14:paraId="51E72AD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8" w:name="_Toc326"/>
      <w:bookmarkStart w:id="59" w:name="_Toc16307"/>
      <w:r>
        <w:rPr>
          <w:rFonts w:hint="eastAsia" w:ascii="仿宋" w:hAnsi="仿宋" w:eastAsia="仿宋" w:cs="仿宋"/>
          <w:lang w:val="en-US" w:eastAsia="zh-CN"/>
        </w:rPr>
        <w:t>进入立项填报页面</w:t>
      </w:r>
      <w:bookmarkEnd w:id="58"/>
      <w:bookmarkEnd w:id="59"/>
    </w:p>
    <w:p w14:paraId="010355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当立项申报通道开启时，学生可在信息门户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顶部栏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中，点击相应任务通道的“立即申报”按钮，即可进入立项申报页面；</w:t>
      </w:r>
    </w:p>
    <w:p w14:paraId="633E757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4150" cy="730885"/>
            <wp:effectExtent l="0" t="0" r="6350" b="571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3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7ECD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在项目管理系统-我的项目页面中，学生可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任务板中的带有“立即申报”标签的立项申报通道，进入立项申报页面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0E39E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3332480"/>
            <wp:effectExtent l="0" t="0" r="3175" b="762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6563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0" w:name="_Toc14573"/>
      <w:bookmarkStart w:id="61" w:name="_Toc28794"/>
      <w:r>
        <w:rPr>
          <w:rFonts w:hint="eastAsia" w:ascii="仿宋" w:hAnsi="仿宋" w:eastAsia="仿宋" w:cs="仿宋"/>
          <w:lang w:val="en-US" w:eastAsia="zh-CN"/>
        </w:rPr>
        <w:t>查看</w:t>
      </w:r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填报指南</w:t>
      </w:r>
      <w:bookmarkEnd w:id="60"/>
      <w:bookmarkEnd w:id="61"/>
    </w:p>
    <w:p w14:paraId="7236C80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首次进入填报页会显示填报指南弹窗，阅读相应填报指南，关闭指南弹窗后，可点击填报页右下角提示按钮查看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BCBC3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819650" cy="2559050"/>
            <wp:effectExtent l="0" t="0" r="6350" b="6350"/>
            <wp:docPr id="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475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17160" cy="2369820"/>
            <wp:effectExtent l="0" t="0" r="2540" b="5080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rcRect t="7247" r="833" b="7430"/>
                    <a:stretch>
                      <a:fillRect/>
                    </a:stretch>
                  </pic:blipFill>
                  <pic:spPr>
                    <a:xfrm>
                      <a:off x="0" y="0"/>
                      <a:ext cx="521716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64BF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2" w:name="_Toc17092"/>
      <w:bookmarkStart w:id="63" w:name="_Toc7724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项目信息填写</w:t>
      </w:r>
      <w:bookmarkEnd w:id="62"/>
      <w:bookmarkEnd w:id="63"/>
    </w:p>
    <w:p w14:paraId="1311F89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根据相应字段填写项目信息；</w:t>
      </w:r>
    </w:p>
    <w:p w14:paraId="72ABFAA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1757045"/>
            <wp:effectExtent l="0" t="0" r="12065" b="8255"/>
            <wp:docPr id="3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E3DB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选择第一指导教师后，管理单位会默认选择指导教师所属学院，若学生组长为长空学院长空创新班学生，则管理单位默认选择长空学院；</w:t>
      </w:r>
    </w:p>
    <w:p w14:paraId="122F007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84810"/>
            <wp:effectExtent l="0" t="0" r="8890" b="8890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B64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主题创新区和平台非必填项目，填写需询问指导教师选择；</w:t>
      </w:r>
    </w:p>
    <w:p w14:paraId="0768F4A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2880" cy="1165860"/>
            <wp:effectExtent l="0" t="0" r="7620" b="2540"/>
            <wp:docPr id="3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12F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研究时间选择项目开始时间，选择后默认确定结束时间（按具体项目要求，一般为6个月或12个月），点击年份左侧和右侧的箭头可切换年份，点击相应月份即选择项目研究开始时间；</w:t>
      </w:r>
    </w:p>
    <w:p w14:paraId="36EB083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3261995"/>
            <wp:effectExtent l="0" t="0" r="635" b="1905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197E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“申请人曾经参与过的创新实践情况”若无经验可填“无”；</w:t>
      </w:r>
    </w:p>
    <w:p w14:paraId="620A91F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1721485"/>
            <wp:effectExtent l="0" t="0" r="0" b="5715"/>
            <wp:docPr id="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DFB8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“项目团队分工”中分工人员需与下方项目成员符合。</w:t>
      </w:r>
    </w:p>
    <w:p w14:paraId="6BEFEF1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2225675"/>
            <wp:effectExtent l="0" t="0" r="1270" b="9525"/>
            <wp:docPr id="6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6088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4" w:name="_Toc27145"/>
      <w:bookmarkStart w:id="65" w:name="_Toc500"/>
      <w:r>
        <w:rPr>
          <w:rFonts w:hint="eastAsia" w:ascii="仿宋" w:hAnsi="仿宋" w:eastAsia="仿宋" w:cs="仿宋"/>
          <w:lang w:val="en-US" w:eastAsia="zh-CN"/>
        </w:rPr>
        <w:t>项目成员</w:t>
      </w:r>
      <w:r>
        <w:rPr>
          <w:rFonts w:hint="eastAsia" w:cs="仿宋"/>
          <w:lang w:val="en-US" w:eastAsia="zh-CN"/>
        </w:rPr>
        <w:t>选择</w:t>
      </w:r>
      <w:bookmarkEnd w:id="64"/>
      <w:bookmarkEnd w:id="65"/>
    </w:p>
    <w:p w14:paraId="077412B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59070" cy="2046605"/>
            <wp:effectExtent l="0" t="0" r="11430" b="10795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9ABE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cs="仿宋"/>
          <w:sz w:val="28"/>
          <w:szCs w:val="28"/>
          <w:lang w:val="en-US" w:eastAsia="zh-CN"/>
        </w:rPr>
        <w:t>点击“快速添加自己”按钮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</w:t>
      </w:r>
      <w:r>
        <w:rPr>
          <w:rFonts w:hint="eastAsia" w:cs="仿宋"/>
          <w:sz w:val="28"/>
          <w:szCs w:val="28"/>
          <w:lang w:val="en-US" w:eastAsia="zh-CN"/>
        </w:rPr>
        <w:t>可一键添加自己为当前项目组长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27A312B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/>
        </w:rPr>
      </w:pPr>
      <w:r>
        <w:drawing>
          <wp:inline distT="0" distB="0" distL="114300" distR="114300">
            <wp:extent cx="5273040" cy="2134235"/>
            <wp:effectExtent l="0" t="0" r="10160" b="12065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D1D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添加的项目成员和指导教师若为校内用户，需点击“添加”按钮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1A25BC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9865" cy="2478405"/>
            <wp:effectExtent l="0" t="0" r="635" b="10795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899C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left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通过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搜索姓名、学号/工号搜索到相应用户，点击相应用户后的“选择”按钮，再点击“确定”按钮，即可将该用户添加至项目成员或指导教师。</w:t>
      </w: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2707640"/>
            <wp:effectExtent l="0" t="0" r="12065" b="10160"/>
            <wp:docPr id="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83AE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554730"/>
            <wp:effectExtent l="0" t="0" r="8890" b="1270"/>
            <wp:docPr id="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FD2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在“排名”输入框输入序号可设置相应用户在项目组内的排名；</w:t>
      </w:r>
    </w:p>
    <w:p w14:paraId="6EEFDEA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040" cy="2728595"/>
            <wp:effectExtent l="0" t="0" r="10160" b="190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0297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联系电话和邮箱非必填项目，若用户在系统内有相应信息则会自动输入；</w:t>
      </w:r>
    </w:p>
    <w:p w14:paraId="049447E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173480"/>
            <wp:effectExtent l="0" t="0" r="3175" b="7620"/>
            <wp:docPr id="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7A6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项目组需设置一名项目组组长，点击按钮设置相应成员为项目组组长；</w:t>
      </w:r>
    </w:p>
    <w:p w14:paraId="7378A2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09950" cy="1797050"/>
            <wp:effectExtent l="0" t="0" r="6350" b="6350"/>
            <wp:docPr id="8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A291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点击相应成员后的“删除”按钮，可将该用户从项目组中移除；</w:t>
      </w:r>
    </w:p>
    <w:p w14:paraId="52A9073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00450" cy="1752600"/>
            <wp:effectExtent l="0" t="0" r="6350" b="0"/>
            <wp:docPr id="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B1D4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根据立项通知公告，项目组成员会设置成员限制提示，若超过成员限制可能会审核不通过，若特殊情况可点击“继续添加”继续添加成员；</w:t>
      </w:r>
    </w:p>
    <w:p w14:paraId="42E716A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45100" cy="1587500"/>
            <wp:effectExtent l="0" t="0" r="0" b="0"/>
            <wp:docPr id="5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D24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点击相应页码切换成员列表页；</w:t>
      </w:r>
    </w:p>
    <w:p w14:paraId="16A941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1543050" cy="692150"/>
            <wp:effectExtent l="0" t="0" r="6350" b="6350"/>
            <wp:docPr id="5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6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1210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6" w:name="_Toc24647"/>
      <w:bookmarkStart w:id="67" w:name="_Toc18743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r>
        <w:rPr>
          <w:rFonts w:hint="eastAsia" w:cs="仿宋"/>
          <w:lang w:val="en-US" w:eastAsia="zh-CN"/>
        </w:rPr>
        <w:t>填写</w:t>
      </w:r>
      <w:bookmarkEnd w:id="66"/>
      <w:bookmarkEnd w:id="67"/>
    </w:p>
    <w:p w14:paraId="58C0DF3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材料清单根据标题信息填写内容；</w:t>
      </w:r>
    </w:p>
    <w:p w14:paraId="4029CC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476500" cy="2257425"/>
            <wp:effectExtent l="0" t="0" r="0" b="3175"/>
            <wp:docPr id="6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3"/>
                    <pic:cNvPicPr>
                      <a:picLocks noChangeAspect="1"/>
                    </pic:cNvPicPr>
                  </pic:nvPicPr>
                  <pic:blipFill>
                    <a:blip r:embed="rId44"/>
                    <a:srcRect t="4222" b="1997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D2B0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点击“点击上传”按钮可上传申报书附件，上传申报书相关附件内容需与填报内容符合；</w:t>
      </w:r>
    </w:p>
    <w:p w14:paraId="6D557F2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114800" cy="2209800"/>
            <wp:effectExtent l="0" t="0" r="0" b="0"/>
            <wp:docPr id="9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D2C3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8" w:name="_Toc18968"/>
      <w:bookmarkStart w:id="69" w:name="_Toc12303"/>
      <w:r>
        <w:rPr>
          <w:rFonts w:hint="eastAsia" w:ascii="仿宋" w:hAnsi="仿宋" w:eastAsia="仿宋" w:cs="仿宋"/>
          <w:lang w:val="en-US" w:eastAsia="zh-CN"/>
        </w:rPr>
        <w:t>经费预算</w:t>
      </w:r>
      <w:r>
        <w:rPr>
          <w:rFonts w:hint="eastAsia" w:cs="仿宋"/>
          <w:lang w:val="en-US" w:eastAsia="zh-CN"/>
        </w:rPr>
        <w:t>填写</w:t>
      </w:r>
      <w:bookmarkEnd w:id="68"/>
      <w:bookmarkEnd w:id="69"/>
    </w:p>
    <w:p w14:paraId="149574F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670F355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946785"/>
            <wp:effectExtent l="0" t="0" r="9525" b="5715"/>
            <wp:docPr id="9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3A5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预算开支科目需选择已有项目；</w:t>
      </w:r>
    </w:p>
    <w:p w14:paraId="3AD3DC8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2291080"/>
            <wp:effectExtent l="0" t="0" r="10795" b="7620"/>
            <wp:docPr id="9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41A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预算金额有限制，填写时需注意合计金额。</w:t>
      </w:r>
    </w:p>
    <w:p w14:paraId="4456261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1379855"/>
            <wp:effectExtent l="0" t="0" r="1270" b="4445"/>
            <wp:docPr id="10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58D2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70" w:name="_Toc13556"/>
      <w:bookmarkStart w:id="71" w:name="_Toc18516"/>
      <w:r>
        <w:rPr>
          <w:rFonts w:hint="eastAsia" w:ascii="仿宋" w:hAnsi="仿宋" w:eastAsia="仿宋" w:cs="仿宋"/>
          <w:lang w:val="en-US" w:eastAsia="zh-CN"/>
        </w:rPr>
        <w:t>提交/保存</w:t>
      </w:r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申报</w:t>
      </w:r>
      <w:bookmarkEnd w:id="70"/>
      <w:bookmarkEnd w:id="71"/>
    </w:p>
    <w:p w14:paraId="177D32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申报填写完成后，可点击页面下方的“提交”按钮进行提交，或点击“保存”按钮保存当前申报；</w:t>
      </w:r>
    </w:p>
    <w:p w14:paraId="3B6BC3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4B38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申报在任务板中会显示“材料提交截止时间”和“提交”“删除”按钮；</w:t>
      </w:r>
    </w:p>
    <w:p w14:paraId="19CD22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040" cy="3684905"/>
            <wp:effectExtent l="0" t="0" r="10160" b="10795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50"/>
                    <a:srcRect t="14879" b="85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10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点击任务板中的项目的“提交”按钮，可进入保存的项目填报页进行继续填报和提交；</w:t>
      </w:r>
    </w:p>
    <w:p w14:paraId="0158C9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770" cy="3623310"/>
            <wp:effectExtent l="0" t="0" r="11430" b="8890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130F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点击任务板中相应项目的“删除”按钮，可删除已保存的项目申报</w:t>
      </w:r>
      <w:r>
        <w:rPr>
          <w:rFonts w:hint="eastAsia" w:cs="仿宋"/>
          <w:sz w:val="28"/>
          <w:szCs w:val="28"/>
          <w:lang w:val="en-US" w:eastAsia="zh-CN"/>
        </w:rPr>
        <w:t>，需确认无误后再点击“确定”按钮删除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2FD231E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3376930"/>
            <wp:effectExtent l="0" t="0" r="1270" b="1270"/>
            <wp:docPr id="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0"/>
                    <pic:cNvPicPr>
                      <a:picLocks noChangeAspect="1"/>
                    </pic:cNvPicPr>
                  </pic:nvPicPr>
                  <pic:blipFill>
                    <a:blip r:embed="rId52"/>
                    <a:srcRect t="15096" b="171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404745"/>
            <wp:effectExtent l="0" t="0" r="10160" b="8255"/>
            <wp:docPr id="5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FC64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已提交的项目可查看相应流程的申报审核进度。</w:t>
      </w:r>
    </w:p>
    <w:p w14:paraId="02C6CD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0340" cy="2303780"/>
            <wp:effectExtent l="0" t="0" r="10160" b="7620"/>
            <wp:docPr id="6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EA867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72" w:name="_Toc4514"/>
      <w:bookmarkStart w:id="73" w:name="_Toc20748"/>
      <w:r>
        <w:rPr>
          <w:rFonts w:hint="eastAsia" w:ascii="仿宋" w:hAnsi="仿宋" w:eastAsia="仿宋" w:cs="仿宋"/>
          <w:lang w:val="en-US" w:eastAsia="zh-CN"/>
        </w:rPr>
        <w:t>查看项目详情</w:t>
      </w:r>
      <w:r>
        <w:rPr>
          <w:rFonts w:hint="eastAsia" w:cs="仿宋"/>
          <w:lang w:val="en-US" w:eastAsia="zh-CN"/>
        </w:rPr>
        <w:t>及往期项目</w:t>
      </w:r>
      <w:bookmarkEnd w:id="72"/>
      <w:bookmarkEnd w:id="73"/>
    </w:p>
    <w:p w14:paraId="003F3E2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54B115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2512060"/>
            <wp:effectExtent l="0" t="0" r="9525" b="2540"/>
            <wp:docPr id="6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3"/>
                    <pic:cNvPicPr>
                      <a:picLocks noChangeAspect="1"/>
                    </pic:cNvPicPr>
                  </pic:nvPicPr>
                  <pic:blipFill>
                    <a:blip r:embed="rId55"/>
                    <a:srcRect t="426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9225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在项目详情板块，可查看项目流程、项目信息、项目审核进度，点击相应流程板块上的查看/提交按钮可进行相应查看、提交申报、提交材料操作。</w:t>
      </w:r>
    </w:p>
    <w:p w14:paraId="062C1C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4150" cy="3319145"/>
            <wp:effectExtent l="0" t="0" r="6350" b="8255"/>
            <wp:docPr id="6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31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D313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81009B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3157855"/>
            <wp:effectExtent l="0" t="0" r="0" b="4445"/>
            <wp:docPr id="6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4ED71">
      <w:pPr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  <w:lang w:val="en-US" w:eastAsia="zh-CN"/>
        </w:rPr>
        <w:br w:type="page"/>
      </w:r>
    </w:p>
    <w:p w14:paraId="2FD36BB8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74" w:name="_Toc8520"/>
      <w:bookmarkStart w:id="75" w:name="_Toc23162"/>
      <w:r>
        <w:rPr>
          <w:rFonts w:hint="eastAsia" w:ascii="仿宋" w:hAnsi="仿宋" w:eastAsia="仿宋" w:cs="仿宋"/>
          <w:lang w:val="en-US" w:eastAsia="zh-CN"/>
        </w:rPr>
        <w:t>学生提交</w:t>
      </w:r>
      <w:r>
        <w:rPr>
          <w:rFonts w:hint="eastAsia" w:cs="仿宋"/>
          <w:lang w:val="en-US" w:eastAsia="zh-CN"/>
        </w:rPr>
        <w:t>初期检查/中期检查/</w:t>
      </w:r>
      <w:r>
        <w:rPr>
          <w:rFonts w:hint="eastAsia" w:ascii="仿宋" w:hAnsi="仿宋" w:eastAsia="仿宋" w:cs="仿宋"/>
          <w:lang w:val="en-US" w:eastAsia="zh-CN"/>
        </w:rPr>
        <w:t>结题验收材料</w:t>
      </w:r>
      <w:bookmarkEnd w:id="74"/>
      <w:bookmarkEnd w:id="75"/>
    </w:p>
    <w:p w14:paraId="658CAC15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76" w:name="_Toc18683"/>
      <w:bookmarkStart w:id="77" w:name="_Toc19163"/>
      <w:r>
        <w:rPr>
          <w:rFonts w:hint="eastAsia" w:ascii="仿宋" w:hAnsi="仿宋" w:eastAsia="仿宋" w:cs="仿宋"/>
          <w:lang w:val="en-US" w:eastAsia="zh-CN"/>
        </w:rPr>
        <w:t>进入提交材料填报页面</w:t>
      </w:r>
      <w:bookmarkEnd w:id="76"/>
      <w:bookmarkEnd w:id="77"/>
    </w:p>
    <w:p w14:paraId="2E7C34A3">
      <w:pPr>
        <w:pStyle w:val="6"/>
        <w:numPr>
          <w:ilvl w:val="3"/>
          <w:numId w:val="1"/>
        </w:numPr>
        <w:bidi w:val="0"/>
        <w:ind w:left="850" w:leftChars="0" w:hanging="85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通过信息门户进入</w:t>
      </w:r>
    </w:p>
    <w:p w14:paraId="6DD35BB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在信息门户的任务面板，若该项目前一流程已校级审核通过，且相应项目类型的结题验收流程通道已开启，该项目会显示“提交材料”按钮</w:t>
      </w:r>
      <w:r>
        <w:rPr>
          <w:rFonts w:hint="eastAsia" w:ascii="仿宋" w:hAnsi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点击“提交材料”按钮可进入相应的填报材料页面。</w:t>
      </w:r>
    </w:p>
    <w:p w14:paraId="2324CF6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highlight w:val="none"/>
        </w:rPr>
        <w:drawing>
          <wp:inline distT="0" distB="0" distL="114300" distR="114300">
            <wp:extent cx="5267325" cy="3180080"/>
            <wp:effectExtent l="0" t="0" r="3175" b="7620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024BA">
      <w:pPr>
        <w:pStyle w:val="6"/>
        <w:numPr>
          <w:ilvl w:val="3"/>
          <w:numId w:val="1"/>
        </w:numPr>
        <w:bidi w:val="0"/>
        <w:ind w:left="850" w:leftChars="0" w:hanging="85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通过项目管理系统进入</w:t>
      </w:r>
    </w:p>
    <w:p w14:paraId="769D3E3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 项目管理系统-我的项目 页面，</w:t>
      </w:r>
      <w:r>
        <w:rPr>
          <w:rFonts w:hint="eastAsia" w:ascii="仿宋" w:hAnsi="仿宋" w:eastAsia="仿宋" w:cs="仿宋"/>
          <w:sz w:val="28"/>
          <w:szCs w:val="28"/>
        </w:rPr>
        <w:t>点击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</w:t>
      </w:r>
      <w:r>
        <w:rPr>
          <w:rFonts w:hint="eastAsia" w:ascii="仿宋" w:hAnsi="仿宋" w:eastAsia="仿宋" w:cs="仿宋"/>
          <w:sz w:val="28"/>
          <w:szCs w:val="28"/>
        </w:rPr>
        <w:t>任务板中的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带“提交”标识和蓝色提示点的待提交项目，点击“提交”按钮</w:t>
      </w:r>
      <w:r>
        <w:rPr>
          <w:rFonts w:hint="eastAsia" w:ascii="仿宋" w:hAnsi="仿宋" w:eastAsia="仿宋" w:cs="仿宋"/>
          <w:sz w:val="28"/>
          <w:szCs w:val="28"/>
        </w:rPr>
        <w:t>进行初期检查/中期检查/</w:t>
      </w:r>
      <w:r>
        <w:rPr>
          <w:rFonts w:hint="eastAsia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材料提交</w:t>
      </w:r>
      <w:r>
        <w:rPr>
          <w:rFonts w:hint="eastAsia" w:ascii="仿宋" w:hAnsi="仿宋" w:eastAsia="仿宋" w:cs="仿宋"/>
          <w:sz w:val="28"/>
          <w:szCs w:val="28"/>
        </w:rPr>
        <w:t>。</w:t>
      </w:r>
    </w:p>
    <w:p w14:paraId="5D288BC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6"/>
          <w:szCs w:val="36"/>
        </w:rPr>
      </w:pPr>
      <w:r>
        <w:drawing>
          <wp:inline distT="0" distB="0" distL="114300" distR="114300">
            <wp:extent cx="5271770" cy="3623310"/>
            <wp:effectExtent l="0" t="0" r="11430" b="8890"/>
            <wp:docPr id="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4982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78" w:name="_Toc14049"/>
      <w:bookmarkStart w:id="79" w:name="_Toc11625"/>
      <w:r>
        <w:rPr>
          <w:rFonts w:hint="eastAsia" w:ascii="仿宋" w:hAnsi="仿宋" w:eastAsia="仿宋" w:cs="仿宋"/>
          <w:lang w:val="en-US" w:eastAsia="zh-CN"/>
        </w:rPr>
        <w:t>变更项目</w:t>
      </w:r>
      <w:r>
        <w:rPr>
          <w:rFonts w:hint="eastAsia" w:cs="仿宋"/>
          <w:lang w:val="en-US" w:eastAsia="zh-CN"/>
        </w:rPr>
        <w:t>成员和</w:t>
      </w:r>
      <w:r>
        <w:rPr>
          <w:rFonts w:hint="eastAsia" w:ascii="仿宋" w:hAnsi="仿宋" w:eastAsia="仿宋" w:cs="仿宋"/>
          <w:lang w:val="en-US" w:eastAsia="zh-CN"/>
        </w:rPr>
        <w:t>信息</w:t>
      </w:r>
      <w:bookmarkEnd w:id="78"/>
      <w:r>
        <w:rPr>
          <w:rFonts w:hint="eastAsia" w:cs="仿宋"/>
          <w:highlight w:val="yellow"/>
          <w:lang w:val="en-US" w:eastAsia="zh-CN"/>
        </w:rPr>
        <w:t>（仅限初期检查/中期检查）</w:t>
      </w:r>
      <w:bookmarkEnd w:id="79"/>
    </w:p>
    <w:p w14:paraId="738A9D9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点击相应项目信息后的“变更”按钮，可变更项目成员和信息，变更前后的信息都会显示在详情页上，点击“取消变更”按钮可取消变更信息。</w:t>
      </w:r>
    </w:p>
    <w:p w14:paraId="010569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highlight w:val="none"/>
        </w:rPr>
        <w:drawing>
          <wp:inline distT="0" distB="0" distL="114300" distR="114300">
            <wp:extent cx="5263515" cy="2552065"/>
            <wp:effectExtent l="0" t="0" r="6985" b="635"/>
            <wp:docPr id="4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5EA7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80" w:name="_Toc32724"/>
      <w:bookmarkStart w:id="81" w:name="_Toc17249"/>
      <w:bookmarkStart w:id="82" w:name="_Toc7584"/>
      <w:r>
        <w:rPr>
          <w:rFonts w:hint="eastAsia" w:cs="仿宋"/>
          <w:lang w:val="en-US" w:eastAsia="zh-CN"/>
        </w:rPr>
        <w:t>初期检查/中期检查/结题验收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bookmarkEnd w:id="80"/>
      <w:bookmarkEnd w:id="81"/>
      <w:bookmarkEnd w:id="82"/>
    </w:p>
    <w:p w14:paraId="3B5AC24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根据填报字段标题填写材料清单，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在上传附件处点击“点击上传”按钮，上传</w:t>
      </w:r>
      <w:r>
        <w:rPr>
          <w:rFonts w:hint="eastAsia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所需附件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66D71F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4785" cy="1106170"/>
            <wp:effectExtent l="0" t="0" r="5715" b="1143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60"/>
                    <a:srcRect t="5485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3C3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3675" cy="2129790"/>
            <wp:effectExtent l="0" t="0" r="9525" b="3810"/>
            <wp:docPr id="4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C0B2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83" w:name="_Toc19389"/>
      <w:bookmarkStart w:id="84" w:name="_Toc21597"/>
      <w:bookmarkStart w:id="85" w:name="_Toc30405"/>
      <w:bookmarkStart w:id="86" w:name="_Toc11401"/>
      <w:r>
        <w:rPr>
          <w:rFonts w:hint="eastAsia" w:cs="仿宋"/>
          <w:lang w:val="en-US" w:eastAsia="zh-CN"/>
        </w:rPr>
        <w:t>结题验收成果统计</w:t>
      </w:r>
      <w:bookmarkEnd w:id="83"/>
      <w:bookmarkEnd w:id="84"/>
      <w:bookmarkEnd w:id="85"/>
      <w:bookmarkEnd w:id="86"/>
    </w:p>
    <w:p w14:paraId="5BDFFA0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成果统计表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，在成果统计中点击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相应成果形式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“添加”按钮，可添加成果填写栏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，成果统计形式包括论文、专利、实物作品、软件系统、竞赛获奖情况及其他形式成果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269F4C3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/>
        </w:rPr>
      </w:pPr>
      <w:r>
        <w:drawing>
          <wp:inline distT="0" distB="0" distL="114300" distR="114300">
            <wp:extent cx="5267960" cy="1957070"/>
            <wp:effectExtent l="0" t="0" r="2540" b="11430"/>
            <wp:docPr id="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8DBC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87" w:name="_Toc22469"/>
      <w:bookmarkStart w:id="88" w:name="_Toc16120"/>
      <w:bookmarkStart w:id="89" w:name="_Toc11150"/>
      <w:r>
        <w:rPr>
          <w:rFonts w:hint="eastAsia" w:ascii="仿宋" w:hAnsi="仿宋" w:eastAsia="仿宋" w:cs="仿宋"/>
          <w:lang w:val="en-US" w:eastAsia="zh-CN"/>
        </w:rPr>
        <w:t>经费使用</w:t>
      </w:r>
      <w:r>
        <w:rPr>
          <w:rFonts w:hint="eastAsia" w:cs="仿宋"/>
          <w:lang w:val="en-US" w:eastAsia="zh-CN"/>
        </w:rPr>
        <w:t>填写</w:t>
      </w:r>
      <w:bookmarkEnd w:id="87"/>
      <w:bookmarkEnd w:id="88"/>
      <w:bookmarkEnd w:id="89"/>
    </w:p>
    <w:p w14:paraId="0BB2D9D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2AFF0D3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1311275"/>
            <wp:effectExtent l="0" t="0" r="635" b="9525"/>
            <wp:docPr id="11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ACFA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支出分类需选择已有项目；</w:t>
      </w:r>
    </w:p>
    <w:p w14:paraId="30CBC6E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362200" cy="1047750"/>
            <wp:effectExtent l="0" t="0" r="0" b="6350"/>
            <wp:docPr id="8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1484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注意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经费使用总金额。</w:t>
      </w:r>
    </w:p>
    <w:p w14:paraId="320A03C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187700" cy="1797050"/>
            <wp:effectExtent l="0" t="0" r="0" b="6350"/>
            <wp:docPr id="8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4431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90" w:name="_Toc30790"/>
      <w:bookmarkStart w:id="91" w:name="_Toc3055"/>
      <w:r>
        <w:rPr>
          <w:rFonts w:hint="eastAsia" w:ascii="仿宋" w:hAnsi="仿宋" w:eastAsia="仿宋" w:cs="仿宋"/>
          <w:lang w:val="en-US" w:eastAsia="zh-CN"/>
        </w:rPr>
        <w:t>提交/保存</w:t>
      </w:r>
      <w:r>
        <w:rPr>
          <w:rFonts w:hint="eastAsia" w:cs="仿宋"/>
          <w:lang w:val="en-US" w:eastAsia="zh-CN"/>
        </w:rPr>
        <w:t xml:space="preserve"> 初期检查/中期检查/结题验收材料申报</w:t>
      </w:r>
      <w:bookmarkEnd w:id="90"/>
      <w:bookmarkEnd w:id="91"/>
    </w:p>
    <w:p w14:paraId="4875E2D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项目初期检查/中期检查/</w:t>
      </w:r>
      <w:r>
        <w:rPr>
          <w:rFonts w:hint="eastAsia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材料填写完成后，可点击页面下方的“提交”按钮进行提交，或点击“保存”按钮保存当前材料填报内容；</w:t>
      </w:r>
    </w:p>
    <w:p w14:paraId="022428F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979170"/>
            <wp:effectExtent l="0" t="0" r="0" b="11430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66"/>
                    <a:srcRect b="325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2145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已保存的项目材料可在任务板中点击“提交”按钮，或在项目详情板块点击相应流程的“待提交”按钮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，进入项目申报页继续编辑提交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。</w:t>
      </w:r>
    </w:p>
    <w:p w14:paraId="31D78BD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6"/>
          <w:szCs w:val="36"/>
        </w:rPr>
      </w:pPr>
      <w:r>
        <w:drawing>
          <wp:inline distT="0" distB="0" distL="114300" distR="114300">
            <wp:extent cx="5271770" cy="3623310"/>
            <wp:effectExtent l="0" t="0" r="11430" b="8890"/>
            <wp:docPr id="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968D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92" w:name="_Toc18617"/>
      <w:bookmarkStart w:id="93" w:name="_Toc27939"/>
      <w:bookmarkStart w:id="94" w:name="_Toc28785"/>
      <w:r>
        <w:rPr>
          <w:rFonts w:hint="eastAsia" w:cs="仿宋"/>
          <w:lang w:val="en-US" w:eastAsia="zh-CN"/>
        </w:rPr>
        <w:t>申请项目中止</w:t>
      </w:r>
      <w:bookmarkEnd w:id="92"/>
      <w:bookmarkEnd w:id="93"/>
      <w:bookmarkEnd w:id="94"/>
    </w:p>
    <w:p w14:paraId="102269E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</w:t>
      </w:r>
      <w:r>
        <w:rPr>
          <w:rFonts w:hint="eastAsia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流程中，可在</w:t>
      </w:r>
      <w:r>
        <w:rPr>
          <w:rFonts w:hint="eastAsia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页面-材料清单-上传附件处，仅上传填写好的《本科生创新实践工程项目中止报告单》</w:t>
      </w:r>
      <w:r>
        <w:rPr>
          <w:rFonts w:hint="eastAsia" w:cs="仿宋"/>
          <w:sz w:val="28"/>
          <w:szCs w:val="28"/>
          <w:lang w:val="en-US" w:eastAsia="zh-CN"/>
        </w:rPr>
        <w:t>（下载地址：</w:t>
      </w:r>
      <w:r>
        <w:rPr>
          <w:rFonts w:hint="eastAsia" w:ascii="仿宋" w:hAnsi="仿宋" w:cs="仿宋"/>
          <w:sz w:val="28"/>
          <w:szCs w:val="28"/>
          <w:lang w:val="en-US" w:eastAsia="zh-CN"/>
        </w:rPr>
        <w:t>https://aao.nuaa.edu.cn/2025/0430/c19020a374375/page.htm</w:t>
      </w:r>
      <w:r>
        <w:rPr>
          <w:rFonts w:hint="eastAsia" w:cs="仿宋"/>
          <w:sz w:val="28"/>
          <w:szCs w:val="28"/>
          <w:lang w:val="en-US" w:eastAsia="zh-CN"/>
        </w:rPr>
        <w:t>）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并提交，待指导教师或管理员审核后，项目即中止。</w:t>
      </w:r>
    </w:p>
    <w:p w14:paraId="762251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7960" cy="2715260"/>
            <wp:effectExtent l="0" t="0" r="2540" b="2540"/>
            <wp:docPr id="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EDC9D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95" w:name="_Toc6816"/>
      <w:bookmarkStart w:id="96" w:name="_Toc11241"/>
      <w:bookmarkStart w:id="97" w:name="_Toc26907"/>
      <w:bookmarkStart w:id="98" w:name="_Toc6191"/>
      <w:r>
        <w:rPr>
          <w:rFonts w:hint="eastAsia"/>
          <w:highlight w:val="none"/>
          <w:lang w:val="en-US" w:eastAsia="zh-CN"/>
        </w:rPr>
        <w:t>申请项目延期</w:t>
      </w:r>
      <w:bookmarkEnd w:id="95"/>
      <w:bookmarkEnd w:id="96"/>
      <w:r>
        <w:rPr>
          <w:rFonts w:hint="eastAsia"/>
          <w:highlight w:val="none"/>
          <w:lang w:val="en-US" w:eastAsia="zh-CN"/>
        </w:rPr>
        <w:t>（</w:t>
      </w:r>
      <w:r>
        <w:rPr>
          <w:rFonts w:hint="eastAsia"/>
          <w:highlight w:val="yellow"/>
          <w:lang w:val="en-US" w:eastAsia="zh-CN"/>
        </w:rPr>
        <w:t>仅限结题验收</w:t>
      </w:r>
      <w:r>
        <w:rPr>
          <w:rFonts w:hint="eastAsia"/>
          <w:highlight w:val="none"/>
          <w:lang w:val="en-US" w:eastAsia="zh-CN"/>
        </w:rPr>
        <w:t>）</w:t>
      </w:r>
      <w:bookmarkEnd w:id="97"/>
      <w:bookmarkEnd w:id="98"/>
    </w:p>
    <w:p w14:paraId="2B5A2C2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highlight w:val="none"/>
          <w:lang w:val="en-US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在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结题验收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流程中，可在结题验收页面-材料清单-上传附件处，仅上传填写好的《本科生创新实践工程项目延期申请表》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（下载地址：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https://aao.nuaa.edu.cn/2025/0430/c19020a374375/page.htm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）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并提交，待指导教师或管理员审核后，项目即可延期。</w:t>
      </w:r>
    </w:p>
    <w:p w14:paraId="483728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72405" cy="3032125"/>
            <wp:effectExtent l="0" t="0" r="10795" b="3175"/>
            <wp:docPr id="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755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/>
          <w:lang w:val="en-US" w:eastAsia="zh-CN"/>
        </w:rPr>
      </w:pPr>
    </w:p>
    <w:p w14:paraId="48C9E155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99" w:name="_Toc24290"/>
      <w:bookmarkStart w:id="100" w:name="_Toc11925"/>
      <w:r>
        <w:rPr>
          <w:rFonts w:hint="eastAsia" w:cs="仿宋"/>
          <w:lang w:val="en-US" w:eastAsia="zh-CN"/>
        </w:rPr>
        <w:t>下载结题证书</w:t>
      </w:r>
      <w:bookmarkEnd w:id="99"/>
      <w:bookmarkEnd w:id="100"/>
    </w:p>
    <w:p w14:paraId="0B405ED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cs="仿宋"/>
          <w:sz w:val="28"/>
          <w:szCs w:val="28"/>
          <w:lang w:val="en-US" w:eastAsia="zh-CN"/>
        </w:rPr>
        <w:t>当项目校级审核通过后即结题完成，点击“已完结项目”，可查看已结题完成的科创项目，项目结题后可在列表中下载</w:t>
      </w:r>
      <w:r>
        <w:rPr>
          <w:rFonts w:hint="eastAsia" w:ascii="仿宋" w:hAnsi="仿宋" w:cs="仿宋"/>
          <w:sz w:val="28"/>
          <w:szCs w:val="28"/>
          <w:lang w:val="en-US" w:eastAsia="zh-CN"/>
        </w:rPr>
        <w:t>。</w:t>
      </w:r>
    </w:p>
    <w:p w14:paraId="0513B90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6690" cy="2836545"/>
            <wp:effectExtent l="0" t="0" r="3810" b="825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3964864"/>
    <w:multiLevelType w:val="multilevel"/>
    <w:tmpl w:val="43964864"/>
    <w:lvl w:ilvl="0" w:tentative="0">
      <w:start w:val="1"/>
      <w:numFmt w:val="decimal"/>
      <w:pStyle w:val="2"/>
      <w:suff w:val="space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166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6A6820"/>
    <w:rsid w:val="0171790F"/>
    <w:rsid w:val="01730582"/>
    <w:rsid w:val="01853E11"/>
    <w:rsid w:val="018B08E9"/>
    <w:rsid w:val="018D5B0B"/>
    <w:rsid w:val="01F022DF"/>
    <w:rsid w:val="024617F2"/>
    <w:rsid w:val="025942ED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B0724C"/>
    <w:rsid w:val="05DD3B11"/>
    <w:rsid w:val="05E27A84"/>
    <w:rsid w:val="062C202A"/>
    <w:rsid w:val="065B5A88"/>
    <w:rsid w:val="066E57BB"/>
    <w:rsid w:val="066F5090"/>
    <w:rsid w:val="068D5D19"/>
    <w:rsid w:val="0692233C"/>
    <w:rsid w:val="06A179B5"/>
    <w:rsid w:val="06A533C4"/>
    <w:rsid w:val="06D34BBE"/>
    <w:rsid w:val="06D418BF"/>
    <w:rsid w:val="06E20077"/>
    <w:rsid w:val="06E239EF"/>
    <w:rsid w:val="06F86DA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9D343C"/>
    <w:rsid w:val="08DC3952"/>
    <w:rsid w:val="08DF2604"/>
    <w:rsid w:val="08E9737B"/>
    <w:rsid w:val="09594501"/>
    <w:rsid w:val="096B280A"/>
    <w:rsid w:val="09750EA6"/>
    <w:rsid w:val="097A10D5"/>
    <w:rsid w:val="099B2651"/>
    <w:rsid w:val="09A45D6D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B0A5387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BF027CF"/>
    <w:rsid w:val="0C1034DF"/>
    <w:rsid w:val="0C30706F"/>
    <w:rsid w:val="0C4534DD"/>
    <w:rsid w:val="0C5E0E4C"/>
    <w:rsid w:val="0C6D4FAE"/>
    <w:rsid w:val="0CD45D8A"/>
    <w:rsid w:val="0D496C99"/>
    <w:rsid w:val="0D5D6566"/>
    <w:rsid w:val="0D7B2DAD"/>
    <w:rsid w:val="0D932DF5"/>
    <w:rsid w:val="0DB4768B"/>
    <w:rsid w:val="0DD24882"/>
    <w:rsid w:val="0DFE4EC3"/>
    <w:rsid w:val="0E364E11"/>
    <w:rsid w:val="0E3D648A"/>
    <w:rsid w:val="0E501F16"/>
    <w:rsid w:val="0E5F448C"/>
    <w:rsid w:val="0EC266A4"/>
    <w:rsid w:val="0EE05EF8"/>
    <w:rsid w:val="0EE36881"/>
    <w:rsid w:val="0F331703"/>
    <w:rsid w:val="0F514F9E"/>
    <w:rsid w:val="0F642502"/>
    <w:rsid w:val="0F845237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A964FB"/>
    <w:rsid w:val="10B01222"/>
    <w:rsid w:val="10DB57FB"/>
    <w:rsid w:val="10DD2E60"/>
    <w:rsid w:val="10E418B0"/>
    <w:rsid w:val="10F0334D"/>
    <w:rsid w:val="11204B7E"/>
    <w:rsid w:val="11643A43"/>
    <w:rsid w:val="11657410"/>
    <w:rsid w:val="118F55C6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A902B5"/>
    <w:rsid w:val="13BE3AC0"/>
    <w:rsid w:val="13C62793"/>
    <w:rsid w:val="13DD4721"/>
    <w:rsid w:val="13DF3855"/>
    <w:rsid w:val="13E902AE"/>
    <w:rsid w:val="13EF6EA1"/>
    <w:rsid w:val="13F47953"/>
    <w:rsid w:val="13FF37F9"/>
    <w:rsid w:val="140D3CDF"/>
    <w:rsid w:val="141505C3"/>
    <w:rsid w:val="14290F74"/>
    <w:rsid w:val="14445DAD"/>
    <w:rsid w:val="148D1503"/>
    <w:rsid w:val="149F1EE5"/>
    <w:rsid w:val="14C2599C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31E88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65C77"/>
    <w:rsid w:val="198D3D53"/>
    <w:rsid w:val="1998697F"/>
    <w:rsid w:val="19A36516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A22DAD"/>
    <w:rsid w:val="1DE91D86"/>
    <w:rsid w:val="1DEA3522"/>
    <w:rsid w:val="1DF951F8"/>
    <w:rsid w:val="1E256308"/>
    <w:rsid w:val="1E2C58E8"/>
    <w:rsid w:val="1E48649A"/>
    <w:rsid w:val="1E4D172F"/>
    <w:rsid w:val="1E546D62"/>
    <w:rsid w:val="1E62130A"/>
    <w:rsid w:val="1E6B2F00"/>
    <w:rsid w:val="1E7828DC"/>
    <w:rsid w:val="1E89232D"/>
    <w:rsid w:val="1EA81762"/>
    <w:rsid w:val="1EC71AB5"/>
    <w:rsid w:val="1EC925E9"/>
    <w:rsid w:val="1ECC5ED1"/>
    <w:rsid w:val="1ED02718"/>
    <w:rsid w:val="1F185E6D"/>
    <w:rsid w:val="1F1A3993"/>
    <w:rsid w:val="1F374545"/>
    <w:rsid w:val="1F4E4C50"/>
    <w:rsid w:val="1F76310D"/>
    <w:rsid w:val="1F8439E2"/>
    <w:rsid w:val="1FA023D7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1BE17D8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14BD1"/>
    <w:rsid w:val="23D407EE"/>
    <w:rsid w:val="23E1585C"/>
    <w:rsid w:val="240F1567"/>
    <w:rsid w:val="24343749"/>
    <w:rsid w:val="24392B0D"/>
    <w:rsid w:val="24480FA2"/>
    <w:rsid w:val="244E7879"/>
    <w:rsid w:val="244F5070"/>
    <w:rsid w:val="245E6D18"/>
    <w:rsid w:val="24A706AA"/>
    <w:rsid w:val="24CA7739"/>
    <w:rsid w:val="24F0302F"/>
    <w:rsid w:val="25103E1B"/>
    <w:rsid w:val="25171F25"/>
    <w:rsid w:val="25560EE1"/>
    <w:rsid w:val="25567B86"/>
    <w:rsid w:val="255F75A2"/>
    <w:rsid w:val="25712A8C"/>
    <w:rsid w:val="25893620"/>
    <w:rsid w:val="258D5F41"/>
    <w:rsid w:val="25F1147C"/>
    <w:rsid w:val="25F75DDA"/>
    <w:rsid w:val="262E41C8"/>
    <w:rsid w:val="26377E76"/>
    <w:rsid w:val="264F6618"/>
    <w:rsid w:val="26734A8A"/>
    <w:rsid w:val="267E7C2E"/>
    <w:rsid w:val="26EA77A0"/>
    <w:rsid w:val="27000917"/>
    <w:rsid w:val="27010DE5"/>
    <w:rsid w:val="271075F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566B4B"/>
    <w:rsid w:val="298170C1"/>
    <w:rsid w:val="298C36DF"/>
    <w:rsid w:val="29A206BB"/>
    <w:rsid w:val="29A45D9F"/>
    <w:rsid w:val="29CD2BCE"/>
    <w:rsid w:val="2A202079"/>
    <w:rsid w:val="2A452816"/>
    <w:rsid w:val="2A5B648A"/>
    <w:rsid w:val="2AA03F8A"/>
    <w:rsid w:val="2AA73EC2"/>
    <w:rsid w:val="2AA91F5E"/>
    <w:rsid w:val="2AC83411"/>
    <w:rsid w:val="2ACB46DB"/>
    <w:rsid w:val="2AD6555A"/>
    <w:rsid w:val="2AF92FF6"/>
    <w:rsid w:val="2B133D68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D32813"/>
    <w:rsid w:val="2CD37E34"/>
    <w:rsid w:val="2CF6225B"/>
    <w:rsid w:val="2D0F6B01"/>
    <w:rsid w:val="2D5811EF"/>
    <w:rsid w:val="2D985537"/>
    <w:rsid w:val="2DC25921"/>
    <w:rsid w:val="2DCB79E8"/>
    <w:rsid w:val="2DE146BD"/>
    <w:rsid w:val="2DF44D33"/>
    <w:rsid w:val="2E2913D2"/>
    <w:rsid w:val="2E362909"/>
    <w:rsid w:val="2E756E38"/>
    <w:rsid w:val="2EB060C2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BA000D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3953B3"/>
    <w:rsid w:val="35415CC5"/>
    <w:rsid w:val="35445111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253F5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CF14645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2E1CEE"/>
    <w:rsid w:val="40B943DC"/>
    <w:rsid w:val="40C451A5"/>
    <w:rsid w:val="40DE28B3"/>
    <w:rsid w:val="410302D3"/>
    <w:rsid w:val="4111001F"/>
    <w:rsid w:val="41123F18"/>
    <w:rsid w:val="4124398E"/>
    <w:rsid w:val="4134048C"/>
    <w:rsid w:val="41371650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4B314B"/>
    <w:rsid w:val="42527862"/>
    <w:rsid w:val="42551DAA"/>
    <w:rsid w:val="428639CB"/>
    <w:rsid w:val="4293662E"/>
    <w:rsid w:val="42942130"/>
    <w:rsid w:val="429A0F3B"/>
    <w:rsid w:val="42A647F7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967DC2"/>
    <w:rsid w:val="49BB2948"/>
    <w:rsid w:val="49E7541E"/>
    <w:rsid w:val="49FB2932"/>
    <w:rsid w:val="4A3634C7"/>
    <w:rsid w:val="4A3D5728"/>
    <w:rsid w:val="4A6A49D5"/>
    <w:rsid w:val="4AE62C97"/>
    <w:rsid w:val="4B0B6CA9"/>
    <w:rsid w:val="4B1039E0"/>
    <w:rsid w:val="4B1A3E58"/>
    <w:rsid w:val="4B386DCB"/>
    <w:rsid w:val="4B4F00B3"/>
    <w:rsid w:val="4B56F45F"/>
    <w:rsid w:val="4B5A0F51"/>
    <w:rsid w:val="4B742315"/>
    <w:rsid w:val="4BE9543E"/>
    <w:rsid w:val="4C213149"/>
    <w:rsid w:val="4C583BC9"/>
    <w:rsid w:val="4C6D1FF5"/>
    <w:rsid w:val="4C777DCD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47064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DE0B99"/>
    <w:rsid w:val="50086F57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0C1C45"/>
    <w:rsid w:val="523B7A5F"/>
    <w:rsid w:val="526F3A1A"/>
    <w:rsid w:val="527036FA"/>
    <w:rsid w:val="527D2D9B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DE116E"/>
    <w:rsid w:val="56E97512"/>
    <w:rsid w:val="56F567DF"/>
    <w:rsid w:val="571050A0"/>
    <w:rsid w:val="57111640"/>
    <w:rsid w:val="57164DB8"/>
    <w:rsid w:val="57282968"/>
    <w:rsid w:val="572B1561"/>
    <w:rsid w:val="572E51CB"/>
    <w:rsid w:val="5733219C"/>
    <w:rsid w:val="57356778"/>
    <w:rsid w:val="573C21CC"/>
    <w:rsid w:val="574513CD"/>
    <w:rsid w:val="57686C8A"/>
    <w:rsid w:val="57C06AC6"/>
    <w:rsid w:val="57D75729"/>
    <w:rsid w:val="57E16096"/>
    <w:rsid w:val="57ED1642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255DA8"/>
    <w:rsid w:val="593523FE"/>
    <w:rsid w:val="593A23F6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E125F"/>
    <w:rsid w:val="5B2758FF"/>
    <w:rsid w:val="5B4B5116"/>
    <w:rsid w:val="5B6E2A42"/>
    <w:rsid w:val="5B8A4B74"/>
    <w:rsid w:val="5BC85F49"/>
    <w:rsid w:val="5BCD51C4"/>
    <w:rsid w:val="5BD043CD"/>
    <w:rsid w:val="5C0D7007"/>
    <w:rsid w:val="5C136B67"/>
    <w:rsid w:val="5C2138C9"/>
    <w:rsid w:val="5C336392"/>
    <w:rsid w:val="5C35640B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CEC1E6D"/>
    <w:rsid w:val="5D0453EE"/>
    <w:rsid w:val="5D074B33"/>
    <w:rsid w:val="5D4F7632"/>
    <w:rsid w:val="5D570DB3"/>
    <w:rsid w:val="5D6F6CF7"/>
    <w:rsid w:val="5D7C6227"/>
    <w:rsid w:val="5D96620C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1515D0"/>
    <w:rsid w:val="60255718"/>
    <w:rsid w:val="6026200E"/>
    <w:rsid w:val="609F1CFF"/>
    <w:rsid w:val="60AB43B5"/>
    <w:rsid w:val="60AE2DBE"/>
    <w:rsid w:val="60BE4B80"/>
    <w:rsid w:val="60CD2636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E47698"/>
    <w:rsid w:val="6410048D"/>
    <w:rsid w:val="643E408E"/>
    <w:rsid w:val="6464275F"/>
    <w:rsid w:val="64C6793F"/>
    <w:rsid w:val="64C91822"/>
    <w:rsid w:val="64EC0EFA"/>
    <w:rsid w:val="64EC195E"/>
    <w:rsid w:val="65160E67"/>
    <w:rsid w:val="65231173"/>
    <w:rsid w:val="652D0367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703465"/>
    <w:rsid w:val="66D22D85"/>
    <w:rsid w:val="66D32DBC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4E7641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2D2798"/>
    <w:rsid w:val="6E3F042C"/>
    <w:rsid w:val="6E3F277C"/>
    <w:rsid w:val="6E486BBF"/>
    <w:rsid w:val="6E4E6868"/>
    <w:rsid w:val="6ECD3B4B"/>
    <w:rsid w:val="6EEB0135"/>
    <w:rsid w:val="6F1E6154"/>
    <w:rsid w:val="6F3D6347"/>
    <w:rsid w:val="6F4638FD"/>
    <w:rsid w:val="6F6C47E7"/>
    <w:rsid w:val="6F703AC2"/>
    <w:rsid w:val="6F92005D"/>
    <w:rsid w:val="6F9D34B0"/>
    <w:rsid w:val="6FB4739E"/>
    <w:rsid w:val="6FD12C00"/>
    <w:rsid w:val="6FDF31E0"/>
    <w:rsid w:val="6FEA7761"/>
    <w:rsid w:val="701B33E0"/>
    <w:rsid w:val="701F1AB3"/>
    <w:rsid w:val="70233F1E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2317D"/>
    <w:rsid w:val="71A3536C"/>
    <w:rsid w:val="71B93EF5"/>
    <w:rsid w:val="71CE1013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21229B"/>
    <w:rsid w:val="734343DB"/>
    <w:rsid w:val="734865C6"/>
    <w:rsid w:val="738549F4"/>
    <w:rsid w:val="738844E4"/>
    <w:rsid w:val="73C36ED4"/>
    <w:rsid w:val="73D05D1F"/>
    <w:rsid w:val="73E9564F"/>
    <w:rsid w:val="741C4025"/>
    <w:rsid w:val="74352F65"/>
    <w:rsid w:val="743C22AC"/>
    <w:rsid w:val="744A5272"/>
    <w:rsid w:val="746B436F"/>
    <w:rsid w:val="747F11D5"/>
    <w:rsid w:val="7481201D"/>
    <w:rsid w:val="749B0247"/>
    <w:rsid w:val="749C0E72"/>
    <w:rsid w:val="74D467A7"/>
    <w:rsid w:val="74FA4F6E"/>
    <w:rsid w:val="74FC5747"/>
    <w:rsid w:val="750E70AC"/>
    <w:rsid w:val="751A73BE"/>
    <w:rsid w:val="753C0D3B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446A3B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6F5462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1C7893"/>
    <w:rsid w:val="7B24108D"/>
    <w:rsid w:val="7B2E62DB"/>
    <w:rsid w:val="7B3B1E3C"/>
    <w:rsid w:val="7B5829EE"/>
    <w:rsid w:val="7B601B5B"/>
    <w:rsid w:val="7B6B464F"/>
    <w:rsid w:val="7B7B66DC"/>
    <w:rsid w:val="7B9C415A"/>
    <w:rsid w:val="7BFE5308"/>
    <w:rsid w:val="7C284E1D"/>
    <w:rsid w:val="7C4C62D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584145"/>
    <w:rsid w:val="7E655C56"/>
    <w:rsid w:val="7E705911"/>
    <w:rsid w:val="7E793893"/>
    <w:rsid w:val="7E891110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/>
      <w:spacing w:line="360" w:lineRule="auto"/>
      <w:ind w:firstLine="0" w:firstLineChars="0"/>
      <w:jc w:val="both"/>
      <w:textAlignment w:val="auto"/>
    </w:pPr>
    <w:rPr>
      <w:rFonts w:ascii="仿宋" w:hAnsi="仿宋" w:eastAsia="仿宋" w:cs="仿宋"/>
      <w:bCs/>
      <w:color w:val="000000" w:themeColor="text1"/>
      <w:kern w:val="2"/>
      <w:sz w:val="28"/>
      <w:szCs w:val="28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0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1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2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0" w:firstLine="0" w:firstLineChars="0"/>
      <w:jc w:val="left"/>
      <w:outlineLvl w:val="2"/>
    </w:pPr>
    <w:rPr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ind w:left="0" w:firstLine="0"/>
      <w:outlineLvl w:val="3"/>
    </w:pPr>
    <w:rPr>
      <w:sz w:val="28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  <w:rPr>
      <w:sz w:val="24"/>
    </w:rPr>
  </w:style>
  <w:style w:type="paragraph" w:styleId="15">
    <w:name w:val="Balloon Text"/>
    <w:basedOn w:val="1"/>
    <w:link w:val="37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4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3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 w:val="24"/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 w:val="24"/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1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2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4">
    <w:name w:val="页脚 字符"/>
    <w:basedOn w:val="25"/>
    <w:link w:val="16"/>
    <w:qFormat/>
    <w:uiPriority w:val="99"/>
    <w:rPr>
      <w:sz w:val="18"/>
      <w:szCs w:val="18"/>
    </w:rPr>
  </w:style>
  <w:style w:type="paragraph" w:customStyle="1" w:styleId="35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6">
    <w:name w:val="标准文件_一级条标题"/>
    <w:basedOn w:val="1"/>
    <w:next w:val="35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7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8">
    <w:name w:val="List Paragraph"/>
    <w:basedOn w:val="1"/>
    <w:qFormat/>
    <w:uiPriority w:val="34"/>
    <w:pPr>
      <w:ind w:firstLine="420" w:firstLineChars="200"/>
    </w:pPr>
  </w:style>
  <w:style w:type="character" w:customStyle="1" w:styleId="39">
    <w:name w:val="标题 4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28"/>
      <w:szCs w:val="28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customXml" Target="../customXml/item1.xml"/><Relationship Id="rId7" Type="http://schemas.openxmlformats.org/officeDocument/2006/relationships/footer" Target="footer3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29</Pages>
  <Words>2758</Words>
  <Characters>2907</Characters>
  <Lines>1</Lines>
  <Paragraphs>1</Paragraphs>
  <TotalTime>1</TotalTime>
  <ScaleCrop>false</ScaleCrop>
  <LinksUpToDate>false</LinksUpToDate>
  <CharactersWithSpaces>3012</CharactersWithSpaces>
  <Application>WPS Office_12.8.2.19823_F1E327BC-269C-435d-A152-05C5408002CA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2026-03-24T09:54:17Z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2052-12.8.2.19823</vt:lpwstr>
  </property>
  <property fmtid="{D5CDD505-2E9C-101B-9397-08002B2CF9AE}" pid="3" name="ICV">
    <vt:lpwstr>999D85ED047944C8852FA6E55A0978BE_13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