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56DD87">
      <w:pPr>
        <w:rPr>
          <w:rFonts w:hint="eastAsia" w:ascii="仿宋_GB2312" w:eastAsia="仿宋_GB2312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仿宋_GB2312" w:eastAsia="仿宋_GB2312"/>
          <w:sz w:val="32"/>
          <w:szCs w:val="32"/>
          <w:lang w:eastAsia="zh-CN"/>
        </w:rPr>
        <w:t>附件1</w:t>
      </w:r>
    </w:p>
    <w:p w14:paraId="71AAC964">
      <w:pPr>
        <w:widowControl w:val="0"/>
        <w:spacing w:after="0" w:line="240" w:lineRule="auto"/>
        <w:jc w:val="center"/>
        <w:rPr>
          <w:rFonts w:hint="eastAsia" w:ascii="Calibri" w:hAnsi="Calibri" w:eastAsia="宋体" w:cs="黑体"/>
          <w:kern w:val="2"/>
          <w:sz w:val="44"/>
          <w:szCs w:val="44"/>
          <w:lang w:eastAsia="zh-CN"/>
        </w:rPr>
      </w:pPr>
      <w:r>
        <w:rPr>
          <w:rFonts w:ascii="Calibri" w:hAnsi="Calibri" w:eastAsia="宋体" w:cs="黑体"/>
          <w:kern w:val="2"/>
          <w:sz w:val="44"/>
          <w:szCs w:val="44"/>
          <w:lang w:eastAsia="zh-CN"/>
        </w:rPr>
        <w:t>南京航空航天大学</w:t>
      </w:r>
    </w:p>
    <w:p w14:paraId="3FFCED26">
      <w:pPr>
        <w:widowControl w:val="0"/>
        <w:spacing w:after="0" w:line="240" w:lineRule="auto"/>
        <w:jc w:val="center"/>
        <w:rPr>
          <w:rFonts w:hint="eastAsia" w:ascii="Calibri" w:hAnsi="Calibri" w:eastAsia="宋体" w:cs="黑体"/>
          <w:kern w:val="2"/>
          <w:sz w:val="44"/>
          <w:szCs w:val="44"/>
          <w:lang w:eastAsia="zh-CN"/>
        </w:rPr>
      </w:pPr>
      <w:r>
        <w:rPr>
          <w:rFonts w:ascii="Calibri" w:hAnsi="Calibri" w:eastAsia="宋体" w:cs="黑体"/>
          <w:kern w:val="2"/>
          <w:sz w:val="44"/>
          <w:szCs w:val="44"/>
          <w:lang w:eastAsia="zh-CN"/>
        </w:rPr>
        <w:t>第十</w:t>
      </w:r>
      <w:r>
        <w:rPr>
          <w:rFonts w:hint="eastAsia" w:ascii="Calibri" w:hAnsi="Calibri" w:eastAsia="宋体" w:cs="黑体"/>
          <w:kern w:val="2"/>
          <w:sz w:val="44"/>
          <w:szCs w:val="44"/>
          <w:lang w:eastAsia="zh-CN"/>
        </w:rPr>
        <w:t>六</w:t>
      </w:r>
      <w:r>
        <w:rPr>
          <w:rFonts w:ascii="Calibri" w:hAnsi="Calibri" w:eastAsia="宋体" w:cs="黑体"/>
          <w:kern w:val="2"/>
          <w:sz w:val="44"/>
          <w:szCs w:val="44"/>
          <w:lang w:eastAsia="zh-CN"/>
        </w:rPr>
        <w:t>届结构创新大赛赛题</w:t>
      </w:r>
    </w:p>
    <w:p w14:paraId="6522B354">
      <w:pPr>
        <w:spacing w:before="160" w:after="80" w:line="560" w:lineRule="exact"/>
        <w:rPr>
          <w:rFonts w:hint="eastAsia" w:ascii="黑体" w:hAnsi="黑体"/>
          <w:b/>
          <w:color w:val="000000"/>
          <w:sz w:val="36"/>
          <w:lang w:eastAsia="zh-CN"/>
        </w:rPr>
      </w:pPr>
    </w:p>
    <w:p w14:paraId="7F468643">
      <w:pPr>
        <w:spacing w:before="160" w:after="80" w:line="560" w:lineRule="exact"/>
        <w:rPr>
          <w:rFonts w:hint="eastAsia"/>
          <w:lang w:eastAsia="zh-CN"/>
        </w:rPr>
      </w:pPr>
      <w:r>
        <w:rPr>
          <w:rFonts w:hint="eastAsia" w:ascii="黑体" w:hAnsi="黑体"/>
          <w:b/>
          <w:color w:val="000000"/>
          <w:sz w:val="36"/>
          <w:lang w:eastAsia="zh-CN"/>
        </w:rPr>
        <w:t>赛题一：</w:t>
      </w:r>
      <w:r>
        <w:rPr>
          <w:rFonts w:ascii="黑体" w:hAnsi="黑体"/>
          <w:b/>
          <w:color w:val="000000"/>
          <w:sz w:val="36"/>
          <w:lang w:eastAsia="zh-CN"/>
        </w:rPr>
        <w:t>模型预制作组</w:t>
      </w:r>
    </w:p>
    <w:p w14:paraId="4F99B5FE">
      <w:pPr>
        <w:pStyle w:val="4"/>
        <w:spacing w:before="80" w:line="560" w:lineRule="exact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一、竞赛模型</w:t>
      </w:r>
    </w:p>
    <w:p w14:paraId="56E7C2A4">
      <w:pPr>
        <w:spacing w:after="0" w:line="560" w:lineRule="exact"/>
        <w:ind w:firstLine="640"/>
        <w:jc w:val="both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采用 A4 纸制作一个承重结构模型，结构形式不限。</w:t>
      </w:r>
    </w:p>
    <w:p w14:paraId="1422E09A">
      <w:pPr>
        <w:spacing w:after="0" w:line="560" w:lineRule="exact"/>
        <w:ind w:firstLine="640"/>
        <w:jc w:val="both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参赛队伍预先制作好竞赛模型，带至赛场参赛。</w:t>
      </w:r>
    </w:p>
    <w:p w14:paraId="190F3150">
      <w:pPr>
        <w:pStyle w:val="4"/>
        <w:spacing w:before="80" w:line="560" w:lineRule="exact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二、材料与工具</w:t>
      </w:r>
    </w:p>
    <w:p w14:paraId="76E39AD5">
      <w:pPr>
        <w:spacing w:after="0" w:line="560" w:lineRule="exact"/>
        <w:ind w:firstLine="640"/>
        <w:jc w:val="both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（1）限用以下材料：A4 纸、胶水（建议使用普通办公液体胶水）、彩色涂料或喷漆（仅用于表面美化）。严禁使用木材、竹材、塑料、纱线、透明胶带等其他材料，严禁对纸张进行浸胶、覆膜等改变其力学性质的处理。</w:t>
      </w:r>
    </w:p>
    <w:p w14:paraId="14B7D63E">
      <w:pPr>
        <w:spacing w:after="0" w:line="560" w:lineRule="exact"/>
        <w:ind w:firstLine="640"/>
        <w:jc w:val="both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（2）胶水仅作黏结之用，不得用于改变纸张的力学特性（如向模型空隙内灌胶等），一经发现即取消该队参赛资格。</w:t>
      </w:r>
    </w:p>
    <w:p w14:paraId="6BA2BB8C">
      <w:pPr>
        <w:spacing w:after="0" w:line="560" w:lineRule="exact"/>
        <w:ind w:firstLine="640"/>
        <w:jc w:val="both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（3）材料与工具由各参赛队自备。</w:t>
      </w:r>
    </w:p>
    <w:p w14:paraId="5D01DE72">
      <w:pPr>
        <w:pStyle w:val="4"/>
        <w:spacing w:before="80" w:line="560" w:lineRule="exact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三、结构模型几何尺寸要求</w:t>
      </w:r>
    </w:p>
    <w:p w14:paraId="2BBFAD88">
      <w:pPr>
        <w:spacing w:after="0" w:line="560" w:lineRule="exact"/>
        <w:ind w:firstLine="640"/>
        <w:jc w:val="both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（1）模型总高度 Ha 不宜小于 550mm。总高度指模型底面至模型顶面（上表面）的垂直距离。</w:t>
      </w:r>
    </w:p>
    <w:p w14:paraId="73710661">
      <w:pPr>
        <w:spacing w:after="0" w:line="560" w:lineRule="exact"/>
        <w:ind w:firstLine="640"/>
        <w:jc w:val="both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 xml:space="preserve">模型高度系数 </w:t>
      </w:r>
      <w:r>
        <w:rPr>
          <w:color w:val="000000"/>
          <w:sz w:val="32"/>
        </w:rPr>
        <w:t>α</w:t>
      </w:r>
      <w:r>
        <w:rPr>
          <w:color w:val="000000"/>
          <w:sz w:val="32"/>
          <w:lang w:eastAsia="zh-CN"/>
        </w:rPr>
        <w:t xml:space="preserve"> 按下列规则取值</w:t>
      </w:r>
    </w:p>
    <w:p w14:paraId="520EBE7C">
      <w:pPr>
        <w:spacing w:after="0" w:line="560" w:lineRule="exact"/>
        <w:ind w:firstLine="640"/>
        <w:jc w:val="both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Ha &lt; 540mm 时，</w:t>
      </w:r>
      <w:r>
        <w:rPr>
          <w:color w:val="000000"/>
          <w:sz w:val="32"/>
        </w:rPr>
        <w:t>α</w:t>
      </w:r>
      <w:r>
        <w:rPr>
          <w:color w:val="000000"/>
          <w:sz w:val="32"/>
          <w:lang w:eastAsia="zh-CN"/>
        </w:rPr>
        <w:t xml:space="preserve"> = 0，该模型不予加载。</w:t>
      </w:r>
    </w:p>
    <w:p w14:paraId="1AAE6FA5">
      <w:pPr>
        <w:spacing w:after="0" w:line="560" w:lineRule="exact"/>
        <w:ind w:firstLine="640"/>
        <w:jc w:val="both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540mm ≤ Ha &lt; 550mm 时，</w:t>
      </w:r>
      <w:r>
        <w:rPr>
          <w:color w:val="000000"/>
          <w:sz w:val="32"/>
        </w:rPr>
        <w:t>α</w:t>
      </w:r>
      <w:r>
        <w:rPr>
          <w:color w:val="000000"/>
          <w:sz w:val="32"/>
          <w:lang w:eastAsia="zh-CN"/>
        </w:rPr>
        <w:t xml:space="preserve"> = 0.</w:t>
      </w:r>
      <w:r>
        <w:rPr>
          <w:rFonts w:hint="eastAsia"/>
          <w:color w:val="000000"/>
          <w:sz w:val="32"/>
          <w:lang w:eastAsia="zh-CN"/>
        </w:rPr>
        <w:t>8</w:t>
      </w:r>
      <w:r>
        <w:rPr>
          <w:color w:val="000000"/>
          <w:sz w:val="32"/>
          <w:lang w:eastAsia="zh-CN"/>
        </w:rPr>
        <w:t>；</w:t>
      </w:r>
    </w:p>
    <w:p w14:paraId="30FDC331">
      <w:pPr>
        <w:spacing w:after="0" w:line="560" w:lineRule="exact"/>
        <w:ind w:firstLine="640"/>
        <w:jc w:val="both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550mm ≤ Ha &lt; 600mm 时，</w:t>
      </w:r>
      <w:r>
        <w:rPr>
          <w:color w:val="000000"/>
          <w:sz w:val="32"/>
        </w:rPr>
        <w:t>α</w:t>
      </w:r>
      <w:r>
        <w:rPr>
          <w:color w:val="000000"/>
          <w:sz w:val="32"/>
          <w:lang w:eastAsia="zh-CN"/>
        </w:rPr>
        <w:t xml:space="preserve"> = 1.0 + 0.2 × (Ha - 550) / 50；</w:t>
      </w:r>
    </w:p>
    <w:p w14:paraId="1235F5C3">
      <w:pPr>
        <w:spacing w:after="0" w:line="560" w:lineRule="exact"/>
        <w:ind w:firstLine="640"/>
        <w:jc w:val="both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Ha ≥ 600mm 时，</w:t>
      </w:r>
      <w:r>
        <w:rPr>
          <w:color w:val="000000"/>
          <w:sz w:val="32"/>
        </w:rPr>
        <w:t>α</w:t>
      </w:r>
      <w:r>
        <w:rPr>
          <w:color w:val="000000"/>
          <w:sz w:val="32"/>
          <w:lang w:eastAsia="zh-CN"/>
        </w:rPr>
        <w:t xml:space="preserve"> = 1.2</w:t>
      </w:r>
    </w:p>
    <w:p w14:paraId="3B21EDD7">
      <w:pPr>
        <w:spacing w:after="0" w:line="560" w:lineRule="exact"/>
        <w:ind w:firstLine="640"/>
        <w:jc w:val="both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（2）模型水平尺寸（边长或直径）应与加载垫板相协调，不宜大于 220mm。</w:t>
      </w:r>
    </w:p>
    <w:p w14:paraId="1FAE2D32">
      <w:pPr>
        <w:spacing w:after="0" w:line="560" w:lineRule="exact"/>
        <w:jc w:val="center"/>
        <w:rPr>
          <w:rFonts w:hint="eastAsia"/>
          <w:lang w:eastAsia="zh-CN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349250</wp:posOffset>
            </wp:positionV>
            <wp:extent cx="2134870" cy="3085465"/>
            <wp:effectExtent l="0" t="0" r="0" b="127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34800" cy="3085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0"/>
          <w:sz w:val="28"/>
          <w:lang w:eastAsia="zh-CN"/>
        </w:rPr>
        <w:t>图 1　模型要求示意图</w:t>
      </w:r>
    </w:p>
    <w:p w14:paraId="780893B4">
      <w:pPr>
        <w:pStyle w:val="4"/>
        <w:spacing w:before="80" w:line="560" w:lineRule="exact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四、结构模型质量与加载质量</w:t>
      </w:r>
    </w:p>
    <w:p w14:paraId="7C175799">
      <w:pPr>
        <w:spacing w:after="0" w:line="560" w:lineRule="exact"/>
        <w:ind w:firstLine="640"/>
        <w:jc w:val="both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结构模型实际质量 ma 宜控制在 200g 以内。</w:t>
      </w:r>
    </w:p>
    <w:p w14:paraId="2688887D">
      <w:pPr>
        <w:spacing w:after="0" w:line="560" w:lineRule="exact"/>
        <w:ind w:firstLine="640"/>
        <w:jc w:val="both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当 ma ≤ 200g 时，模型计算质量 m 取实际质量，即 m = ma；当 ma &gt; 200g 时，超重部分按 3 倍计入，即 m = 200 + 3 × (ma - 200)。计算质量 m 以 g 为单位。</w:t>
      </w:r>
    </w:p>
    <w:p w14:paraId="5EE8D948">
      <w:pPr>
        <w:spacing w:after="0" w:line="560" w:lineRule="exact"/>
        <w:ind w:firstLine="640"/>
        <w:jc w:val="both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模型顶部加载质量 M1（不含垫块木板）以 kg 为单位。</w:t>
      </w:r>
    </w:p>
    <w:p w14:paraId="25E49000">
      <w:pPr>
        <w:spacing w:after="0" w:line="560" w:lineRule="exact"/>
        <w:ind w:firstLine="640"/>
        <w:jc w:val="both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现场提供大、中、小三种规格的加载铁块，单块质量一般为 20kg、10kg、5kg。</w:t>
      </w:r>
    </w:p>
    <w:p w14:paraId="4C75189B">
      <w:pPr>
        <w:spacing w:after="0" w:line="560" w:lineRule="exact"/>
        <w:ind w:firstLine="640"/>
        <w:jc w:val="both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组委会现场提供的垫块木板，质量小于 1kg。</w:t>
      </w:r>
    </w:p>
    <w:p w14:paraId="433DCC86">
      <w:pPr>
        <w:pStyle w:val="4"/>
        <w:spacing w:before="80" w:line="560" w:lineRule="exact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五、模型加载制度</w:t>
      </w:r>
    </w:p>
    <w:p w14:paraId="34DBFED5">
      <w:pPr>
        <w:spacing w:after="0" w:line="560" w:lineRule="exact"/>
        <w:ind w:firstLine="640"/>
        <w:jc w:val="both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加载铁块须放置在组委会统一提供的垫块木板上。</w:t>
      </w:r>
    </w:p>
    <w:p w14:paraId="76CBF629">
      <w:pPr>
        <w:spacing w:after="0" w:line="560" w:lineRule="exact"/>
        <w:ind w:firstLine="640"/>
        <w:jc w:val="both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比赛按下列规则逐级加载：</w:t>
      </w:r>
    </w:p>
    <w:p w14:paraId="09AF795C">
      <w:pPr>
        <w:spacing w:after="0" w:line="560" w:lineRule="exact"/>
        <w:ind w:firstLine="640"/>
        <w:jc w:val="both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（1）每队最多有 5 次加载机会，即最多 5 级加载，每级加载可放多块铁块；</w:t>
      </w:r>
    </w:p>
    <w:p w14:paraId="2BCF78A5">
      <w:pPr>
        <w:spacing w:after="0" w:line="560" w:lineRule="exact"/>
        <w:ind w:firstLine="640"/>
        <w:jc w:val="both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（2）每级铁块放置到位后，队员举手示意，工作人员即开始计时；满 10 秒且模型未失效，视为本级加载成功并可进入下一级；</w:t>
      </w:r>
    </w:p>
    <w:p w14:paraId="51540A96">
      <w:pPr>
        <w:spacing w:after="0" w:line="560" w:lineRule="exact"/>
        <w:ind w:firstLine="640"/>
        <w:jc w:val="both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（3）第一级加载质量必须为 10kg，其余各级加载质量由参赛队自主确定，但累计加载质量不得超过 1</w:t>
      </w:r>
      <w:r>
        <w:rPr>
          <w:rFonts w:hint="eastAsia"/>
          <w:color w:val="000000"/>
          <w:sz w:val="32"/>
          <w:lang w:eastAsia="zh-CN"/>
        </w:rPr>
        <w:t>2</w:t>
      </w:r>
      <w:r>
        <w:rPr>
          <w:color w:val="000000"/>
          <w:sz w:val="32"/>
          <w:lang w:eastAsia="zh-CN"/>
        </w:rPr>
        <w:t>0kg；</w:t>
      </w:r>
    </w:p>
    <w:p w14:paraId="2027029F">
      <w:pPr>
        <w:pStyle w:val="4"/>
        <w:spacing w:before="80" w:line="560" w:lineRule="exact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六、模型失效评判准则</w:t>
      </w:r>
    </w:p>
    <w:p w14:paraId="139C5758">
      <w:pPr>
        <w:spacing w:after="0" w:line="560" w:lineRule="exact"/>
        <w:ind w:firstLine="640"/>
        <w:jc w:val="both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比赛开始前，组委会对各队模型进行资格审查，发现违规者取消参赛资格。</w:t>
      </w:r>
    </w:p>
    <w:p w14:paraId="6FCF8CAE">
      <w:pPr>
        <w:spacing w:after="0" w:line="560" w:lineRule="exact"/>
        <w:ind w:firstLine="640"/>
        <w:jc w:val="both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模型在各级加载过程中出现下列任一情形，即判定为失效，并以失效前一级的加载质量作为模型性能计算的依据。若模型在第一级加载即失效，则取 M1 = 0，性能得分 S = 0。</w:t>
      </w:r>
    </w:p>
    <w:p w14:paraId="0854D485">
      <w:pPr>
        <w:spacing w:after="0" w:line="560" w:lineRule="exact"/>
        <w:ind w:firstLine="640"/>
        <w:jc w:val="both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（1）结构出现断裂、坍塌或明显失稳；</w:t>
      </w:r>
    </w:p>
    <w:p w14:paraId="3969959C">
      <w:pPr>
        <w:spacing w:after="0" w:line="560" w:lineRule="exact"/>
        <w:ind w:firstLine="640"/>
        <w:jc w:val="both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（2）加载过程中出现垫块或铁块落地。</w:t>
      </w:r>
    </w:p>
    <w:p w14:paraId="229D4A5B">
      <w:pPr>
        <w:spacing w:after="0" w:line="560" w:lineRule="exact"/>
        <w:ind w:firstLine="640"/>
        <w:jc w:val="both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除 A4 纸、胶水及表面美化用涂料外使用了其他材料，或存在向模型空隙注胶、改变纸张自身力学特性的情况，当场发现，取消参赛资格；赛后查实，取消成绩。</w:t>
      </w:r>
    </w:p>
    <w:p w14:paraId="073A3FE2">
      <w:pPr>
        <w:pStyle w:val="4"/>
        <w:spacing w:before="80" w:line="560" w:lineRule="exact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七、模型现场安装、加载及测试步骤</w:t>
      </w:r>
    </w:p>
    <w:p w14:paraId="60B164C4">
      <w:pPr>
        <w:spacing w:after="0" w:line="560" w:lineRule="exact"/>
        <w:ind w:firstLine="640"/>
        <w:jc w:val="both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1. 工作人员测量模型尺寸（精确至 1mm）并称重（精确至 0.1g）；</w:t>
      </w:r>
    </w:p>
    <w:p w14:paraId="10739EBA">
      <w:pPr>
        <w:spacing w:after="0" w:line="560" w:lineRule="exact"/>
        <w:ind w:firstLine="640"/>
        <w:jc w:val="both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2. 得到入场指令后，将模型运入场内，安放于承载台上；</w:t>
      </w:r>
    </w:p>
    <w:p w14:paraId="3E9D1226">
      <w:pPr>
        <w:spacing w:after="0" w:line="560" w:lineRule="exact"/>
        <w:ind w:firstLine="640"/>
        <w:jc w:val="both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3. 由一名队员进行模型陈述（1 分钟）并回答评委提问（1 分钟），评委现场打分；</w:t>
      </w:r>
    </w:p>
    <w:p w14:paraId="2ACE07B5">
      <w:pPr>
        <w:spacing w:after="0" w:line="560" w:lineRule="exact"/>
        <w:ind w:firstLine="640"/>
        <w:jc w:val="both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4. 每级加载完成后，评判模型是否失效；</w:t>
      </w:r>
    </w:p>
    <w:p w14:paraId="3D0A84AB">
      <w:pPr>
        <w:spacing w:after="0" w:line="560" w:lineRule="exact"/>
        <w:ind w:firstLine="640"/>
        <w:jc w:val="both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5. 模型安装与加载由各队自行完成，工作人员负责监督与记录；</w:t>
      </w:r>
    </w:p>
    <w:p w14:paraId="57906CC3">
      <w:pPr>
        <w:spacing w:after="0" w:line="560" w:lineRule="exact"/>
        <w:ind w:firstLine="640"/>
        <w:jc w:val="both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6. 加载结束后，各队须迅速清理加载现场。</w:t>
      </w:r>
    </w:p>
    <w:p w14:paraId="5AA94A1B">
      <w:pPr>
        <w:pStyle w:val="4"/>
        <w:spacing w:before="80" w:line="560" w:lineRule="exact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八、评分规则</w:t>
      </w:r>
    </w:p>
    <w:p w14:paraId="2B8CE2C6">
      <w:pPr>
        <w:spacing w:after="0" w:line="560" w:lineRule="exact"/>
        <w:ind w:firstLine="640"/>
        <w:jc w:val="both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成绩为造型分、现场答辩得分与模型性能得分之和。</w:t>
      </w:r>
    </w:p>
    <w:p w14:paraId="56E48E29">
      <w:pPr>
        <w:pStyle w:val="5"/>
        <w:spacing w:before="80" w:line="560" w:lineRule="exact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（一）造型分（10 分）</w:t>
      </w:r>
    </w:p>
    <w:p w14:paraId="192E98A2">
      <w:pPr>
        <w:spacing w:after="0" w:line="560" w:lineRule="exact"/>
        <w:ind w:firstLine="640"/>
        <w:jc w:val="both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造型分综合考查宏观造型与微观工艺。</w:t>
      </w:r>
    </w:p>
    <w:p w14:paraId="2BA23B3F">
      <w:pPr>
        <w:spacing w:after="0" w:line="560" w:lineRule="exact"/>
        <w:ind w:firstLine="640"/>
        <w:jc w:val="both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宏观造型要求结构体系构思新颖、外形美观、构件比例协调。微观工艺要求构件与节点裁剪合理、制作精细、连接可靠。</w:t>
      </w:r>
    </w:p>
    <w:p w14:paraId="09C7A2CD">
      <w:pPr>
        <w:pStyle w:val="5"/>
        <w:spacing w:before="80" w:line="560" w:lineRule="exact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（二）现场答辩得分（5 分）</w:t>
      </w:r>
    </w:p>
    <w:p w14:paraId="4ABD4DD1">
      <w:pPr>
        <w:spacing w:after="0" w:line="560" w:lineRule="exact"/>
        <w:ind w:firstLine="640"/>
        <w:jc w:val="both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综合考查模型现场陈述与回答评委提问两个方面的表现。</w:t>
      </w:r>
    </w:p>
    <w:p w14:paraId="5B5F1F5E">
      <w:pPr>
        <w:pStyle w:val="5"/>
        <w:spacing w:before="80" w:line="560" w:lineRule="exact"/>
        <w:rPr>
          <w:rFonts w:hint="eastAsia"/>
        </w:rPr>
      </w:pPr>
      <w:r>
        <w:rPr>
          <w:color w:val="000000"/>
          <w:sz w:val="32"/>
        </w:rPr>
        <w:t>（三）模型性能得分（85 分）</w:t>
      </w:r>
    </w:p>
    <w:p w14:paraId="6B434E2F">
      <w:pPr>
        <w:spacing w:after="0" w:line="560" w:lineRule="exact"/>
        <w:ind w:firstLine="640"/>
        <w:jc w:val="both"/>
        <w:rPr>
          <w:rFonts w:hint="eastAsia"/>
        </w:rPr>
      </w:pPr>
      <w:r>
        <w:rPr>
          <w:color w:val="000000"/>
          <w:sz w:val="32"/>
        </w:rPr>
        <w:t>模型性能得分 S 按式（1）计算：</w:t>
      </w:r>
    </w:p>
    <w:p w14:paraId="101B56A4">
      <w:pPr>
        <w:spacing w:before="80" w:after="80" w:line="560" w:lineRule="exact"/>
        <w:jc w:val="center"/>
        <w:rPr>
          <w:rFonts w:hint="eastAsia"/>
        </w:rPr>
      </w:pPr>
      <w:r>
        <w:rPr>
          <w:color w:val="000000"/>
          <w:sz w:val="32"/>
        </w:rPr>
        <w:t>S = 85 × C / C*　　（1）</w:t>
      </w:r>
    </w:p>
    <w:p w14:paraId="03D784E8">
      <w:pPr>
        <w:spacing w:after="0" w:line="560" w:lineRule="exact"/>
        <w:ind w:firstLine="640"/>
        <w:jc w:val="both"/>
        <w:rPr>
          <w:rFonts w:hint="eastAsia"/>
        </w:rPr>
      </w:pPr>
      <w:r>
        <w:rPr>
          <w:color w:val="000000"/>
          <w:sz w:val="32"/>
        </w:rPr>
        <w:t>式中，C 为本队模型的性能参数，按式（2）计算：</w:t>
      </w:r>
    </w:p>
    <w:p w14:paraId="7E127C03">
      <w:pPr>
        <w:spacing w:before="80" w:after="80" w:line="560" w:lineRule="exact"/>
        <w:jc w:val="center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 xml:space="preserve">C = </w:t>
      </w:r>
      <w:r>
        <w:rPr>
          <w:color w:val="000000"/>
          <w:sz w:val="32"/>
        </w:rPr>
        <w:t>α</w:t>
      </w:r>
      <w:r>
        <w:rPr>
          <w:color w:val="000000"/>
          <w:sz w:val="32"/>
          <w:lang w:eastAsia="zh-CN"/>
        </w:rPr>
        <w:t xml:space="preserve"> × M1 / m　　（2）</w:t>
      </w:r>
    </w:p>
    <w:p w14:paraId="262C8716">
      <w:pPr>
        <w:spacing w:after="0" w:line="560" w:lineRule="exact"/>
        <w:ind w:firstLine="640"/>
        <w:jc w:val="both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C* 为本赛场全部参赛队按式（2）计算所得性能参数的最大值。</w:t>
      </w:r>
    </w:p>
    <w:p w14:paraId="1547248C">
      <w:pPr>
        <w:pBdr>
          <w:left w:val="single" w:color="000000" w:sz="18" w:space="0"/>
        </w:pBdr>
        <w:shd w:val="clear" w:color="auto" w:fill="F2F2F2"/>
        <w:spacing w:before="80" w:after="80" w:line="440" w:lineRule="exact"/>
        <w:jc w:val="both"/>
        <w:rPr>
          <w:rFonts w:hint="eastAsia"/>
          <w:lang w:eastAsia="zh-CN"/>
        </w:rPr>
      </w:pPr>
      <w:r>
        <w:rPr>
          <w:color w:val="000000"/>
          <w:sz w:val="28"/>
          <w:lang w:eastAsia="zh-CN"/>
        </w:rPr>
        <w:t>  提示：式（2）中，M1 为模型顶部累计加载质量，</w:t>
      </w:r>
      <w:r>
        <w:rPr>
          <w:color w:val="000000"/>
          <w:sz w:val="28"/>
        </w:rPr>
        <w:t>α</w:t>
      </w:r>
      <w:r>
        <w:rPr>
          <w:color w:val="000000"/>
          <w:sz w:val="28"/>
          <w:lang w:eastAsia="zh-CN"/>
        </w:rPr>
        <w:t xml:space="preserve"> 为高度系数，m 为模型计算质量。M1 以 kg 计、m 以 g 计。</w:t>
      </w:r>
    </w:p>
    <w:p w14:paraId="6551C242">
      <w:pPr>
        <w:spacing w:before="160" w:after="80" w:line="560" w:lineRule="exact"/>
        <w:rPr>
          <w:rFonts w:hint="eastAsia" w:ascii="黑体" w:hAnsi="黑体"/>
          <w:b/>
          <w:color w:val="000000"/>
          <w:sz w:val="36"/>
          <w:lang w:eastAsia="zh-CN"/>
        </w:rPr>
      </w:pPr>
    </w:p>
    <w:p w14:paraId="0C964F0C">
      <w:pPr>
        <w:spacing w:before="160" w:after="80" w:line="560" w:lineRule="exact"/>
        <w:rPr>
          <w:rFonts w:hint="eastAsia" w:ascii="黑体" w:hAnsi="黑体"/>
          <w:b/>
          <w:color w:val="000000"/>
          <w:sz w:val="36"/>
          <w:lang w:eastAsia="zh-CN"/>
        </w:rPr>
      </w:pPr>
    </w:p>
    <w:p w14:paraId="7D633681">
      <w:pPr>
        <w:spacing w:before="160" w:after="80" w:line="560" w:lineRule="exact"/>
        <w:rPr>
          <w:rFonts w:hint="eastAsia" w:ascii="黑体" w:hAnsi="黑体"/>
          <w:b/>
          <w:color w:val="000000"/>
          <w:sz w:val="36"/>
          <w:lang w:eastAsia="zh-CN"/>
        </w:rPr>
      </w:pPr>
    </w:p>
    <w:p w14:paraId="622EE713">
      <w:pPr>
        <w:spacing w:before="160" w:after="80" w:line="560" w:lineRule="exact"/>
        <w:rPr>
          <w:rFonts w:hint="eastAsia" w:ascii="黑体" w:hAnsi="黑体"/>
          <w:b/>
          <w:color w:val="000000"/>
          <w:sz w:val="36"/>
          <w:lang w:eastAsia="zh-CN"/>
        </w:rPr>
      </w:pPr>
    </w:p>
    <w:p w14:paraId="3C63B99D">
      <w:pPr>
        <w:spacing w:before="160" w:after="80" w:line="560" w:lineRule="exact"/>
        <w:rPr>
          <w:rFonts w:hint="eastAsia" w:ascii="黑体" w:hAnsi="黑体"/>
          <w:b/>
          <w:color w:val="000000"/>
          <w:sz w:val="36"/>
          <w:lang w:eastAsia="zh-CN"/>
        </w:rPr>
      </w:pPr>
    </w:p>
    <w:p w14:paraId="58D4A396">
      <w:pPr>
        <w:spacing w:before="160" w:after="80" w:line="560" w:lineRule="exact"/>
        <w:rPr>
          <w:rFonts w:hint="eastAsia" w:ascii="黑体" w:hAnsi="黑体"/>
          <w:b/>
          <w:color w:val="000000"/>
          <w:sz w:val="36"/>
          <w:lang w:eastAsia="zh-CN"/>
        </w:rPr>
      </w:pPr>
    </w:p>
    <w:p w14:paraId="70948C61">
      <w:pPr>
        <w:spacing w:before="160" w:after="80" w:line="560" w:lineRule="exact"/>
        <w:rPr>
          <w:rFonts w:hint="eastAsia" w:ascii="黑体" w:hAnsi="黑体"/>
          <w:b/>
          <w:color w:val="000000"/>
          <w:sz w:val="36"/>
          <w:lang w:eastAsia="zh-CN"/>
        </w:rPr>
      </w:pPr>
    </w:p>
    <w:p w14:paraId="0DDA4BBE">
      <w:pPr>
        <w:spacing w:before="160" w:after="80" w:line="560" w:lineRule="exact"/>
        <w:rPr>
          <w:rFonts w:hint="eastAsia" w:ascii="黑体" w:hAnsi="黑体"/>
          <w:b/>
          <w:color w:val="000000"/>
          <w:sz w:val="36"/>
          <w:lang w:eastAsia="zh-CN"/>
        </w:rPr>
      </w:pPr>
    </w:p>
    <w:p w14:paraId="0A987E16">
      <w:pPr>
        <w:spacing w:after="0" w:line="240" w:lineRule="auto"/>
        <w:rPr>
          <w:rFonts w:hint="eastAsia" w:ascii="黑体" w:hAnsi="黑体"/>
          <w:b/>
          <w:color w:val="000000"/>
          <w:sz w:val="36"/>
          <w:lang w:eastAsia="zh-CN"/>
        </w:rPr>
      </w:pPr>
      <w:r>
        <w:rPr>
          <w:rFonts w:hint="eastAsia" w:ascii="黑体" w:hAnsi="黑体"/>
          <w:b/>
          <w:color w:val="000000"/>
          <w:sz w:val="36"/>
          <w:lang w:eastAsia="zh-CN"/>
        </w:rPr>
        <w:br w:type="page"/>
      </w:r>
    </w:p>
    <w:p w14:paraId="14608A1A">
      <w:pPr>
        <w:spacing w:before="160" w:after="80" w:line="560" w:lineRule="exact"/>
        <w:rPr>
          <w:rFonts w:hint="eastAsia" w:ascii="黑体" w:hAnsi="黑体"/>
          <w:b/>
          <w:color w:val="000000"/>
          <w:sz w:val="36"/>
          <w:lang w:eastAsia="zh-CN"/>
        </w:rPr>
      </w:pPr>
    </w:p>
    <w:p w14:paraId="1729BF1A">
      <w:pPr>
        <w:spacing w:before="160" w:after="80" w:line="560" w:lineRule="exact"/>
        <w:rPr>
          <w:rFonts w:hint="eastAsia"/>
          <w:lang w:eastAsia="zh-CN"/>
        </w:rPr>
      </w:pPr>
      <w:r>
        <w:rPr>
          <w:rFonts w:hint="eastAsia" w:ascii="黑体" w:hAnsi="黑体"/>
          <w:b/>
          <w:color w:val="000000"/>
          <w:sz w:val="36"/>
          <w:lang w:eastAsia="zh-CN"/>
        </w:rPr>
        <w:t>赛题二：</w:t>
      </w:r>
      <w:r>
        <w:rPr>
          <w:rFonts w:ascii="黑体" w:hAnsi="黑体"/>
          <w:b/>
          <w:color w:val="000000"/>
          <w:sz w:val="36"/>
          <w:lang w:eastAsia="zh-CN"/>
        </w:rPr>
        <w:t>模型现场制作组</w:t>
      </w:r>
    </w:p>
    <w:p w14:paraId="37950942">
      <w:pPr>
        <w:pStyle w:val="4"/>
        <w:spacing w:before="80" w:line="560" w:lineRule="exact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一、竞赛材料</w:t>
      </w:r>
    </w:p>
    <w:p w14:paraId="6B910762">
      <w:pPr>
        <w:spacing w:after="0" w:line="560" w:lineRule="exact"/>
        <w:ind w:firstLine="640"/>
        <w:jc w:val="both"/>
        <w:rPr>
          <w:rFonts w:hint="eastAsia"/>
          <w:lang w:eastAsia="zh-CN"/>
        </w:rPr>
      </w:pPr>
      <w:r>
        <w:rPr>
          <w:rFonts w:hint="eastAsia"/>
          <w:color w:val="000000"/>
          <w:sz w:val="32"/>
          <w:lang w:eastAsia="zh-CN"/>
        </w:rPr>
        <w:t>竞赛</w:t>
      </w:r>
      <w:r>
        <w:rPr>
          <w:color w:val="000000"/>
          <w:sz w:val="32"/>
          <w:lang w:eastAsia="zh-CN"/>
        </w:rPr>
        <w:t>组委会</w:t>
      </w:r>
      <w:r>
        <w:rPr>
          <w:rFonts w:hint="eastAsia"/>
          <w:color w:val="000000"/>
          <w:sz w:val="32"/>
          <w:lang w:eastAsia="zh-CN"/>
        </w:rPr>
        <w:t>提供</w:t>
      </w:r>
      <w:r>
        <w:rPr>
          <w:color w:val="000000"/>
          <w:sz w:val="32"/>
          <w:lang w:eastAsia="zh-CN"/>
        </w:rPr>
        <w:t>：70g A4 纸 5 张、双面胶 1 份、裁纸刀 1 把。仅可裁切、折叠、粘接给定材料；不得添加其他任何材料对纸张改性。</w:t>
      </w:r>
    </w:p>
    <w:p w14:paraId="35D535B6">
      <w:pPr>
        <w:spacing w:after="0" w:line="560" w:lineRule="exact"/>
        <w:ind w:firstLine="640"/>
        <w:jc w:val="both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违反本节材料规定的，取消参赛资格；赛后查实的，取消成绩。</w:t>
      </w:r>
    </w:p>
    <w:p w14:paraId="4F7A4B60">
      <w:pPr>
        <w:pStyle w:val="4"/>
        <w:spacing w:before="80" w:line="560" w:lineRule="exact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二、任务要求</w:t>
      </w:r>
    </w:p>
    <w:p w14:paraId="21AA8DEC">
      <w:pPr>
        <w:spacing w:after="0" w:line="560" w:lineRule="exact"/>
        <w:ind w:firstLine="640"/>
        <w:jc w:val="both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利用给定材料制作可自主直立的纸结构模型。</w:t>
      </w:r>
    </w:p>
    <w:p w14:paraId="27136DBA">
      <w:pPr>
        <w:spacing w:after="0" w:line="560" w:lineRule="exact"/>
        <w:ind w:firstLine="640"/>
        <w:jc w:val="both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模型放置于组委会提供的 30cm × 30cm 承载板（放置模型）上；严禁将模型粘贴、固定在承载板上。模型底部投影不得超出承载板范围。</w:t>
      </w:r>
    </w:p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2"/>
      </w:tblGrid>
      <w:tr w14:paraId="68C332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2F654DFD">
            <w:pPr>
              <w:spacing w:before="60" w:after="60" w:line="240" w:lineRule="auto"/>
              <w:jc w:val="both"/>
              <w:rPr>
                <w:rFonts w:hint="eastAsia"/>
                <w:lang w:eastAsia="zh-CN"/>
              </w:rPr>
            </w:pPr>
            <w:r>
              <w:rPr>
                <w:color w:val="000000"/>
                <w:sz w:val="28"/>
                <w:lang w:eastAsia="zh-CN"/>
              </w:rPr>
              <w:t>高度底线要求：模型高度不得小于 25cm（承载板板面至模型顶端垂直高度），不足 25cm 直接判定任务无效。</w:t>
            </w:r>
            <w:r>
              <w:rPr>
                <w:lang w:eastAsia="zh-CN"/>
              </w:rPr>
              <w:t xml:space="preserve"> </w:t>
            </w:r>
          </w:p>
          <w:p w14:paraId="5C6DBF72">
            <w:pPr>
              <w:spacing w:before="60" w:after="60" w:line="240" w:lineRule="auto"/>
              <w:jc w:val="both"/>
              <w:rPr>
                <w:rFonts w:hint="eastAsia"/>
                <w:lang w:eastAsia="zh-CN"/>
              </w:rPr>
            </w:pPr>
            <w:r>
              <w:rPr>
                <w:color w:val="000000"/>
                <w:sz w:val="28"/>
                <w:lang w:eastAsia="zh-CN"/>
              </w:rPr>
              <w:t>荷载：参赛队伍自行设计结构顶部构造，保证《高等数学（上册）》教材可平稳放置于模型顶端。</w:t>
            </w:r>
            <w:r>
              <w:rPr>
                <w:lang w:eastAsia="zh-CN"/>
              </w:rPr>
              <w:t xml:space="preserve"> </w:t>
            </w:r>
          </w:p>
          <w:p w14:paraId="79565EC3">
            <w:pPr>
              <w:spacing w:before="60" w:after="60" w:line="240" w:lineRule="auto"/>
              <w:jc w:val="both"/>
              <w:rPr>
                <w:rFonts w:hint="eastAsia"/>
                <w:lang w:eastAsia="zh-CN"/>
              </w:rPr>
            </w:pPr>
            <w:r>
              <w:rPr>
                <w:color w:val="000000"/>
                <w:sz w:val="28"/>
                <w:lang w:eastAsia="zh-CN"/>
              </w:rPr>
              <w:t>指定教材信息：</w:t>
            </w:r>
            <w:r>
              <w:rPr>
                <w:lang w:eastAsia="zh-CN"/>
              </w:rPr>
              <w:t xml:space="preserve"> </w:t>
            </w:r>
          </w:p>
          <w:p w14:paraId="017E63B1">
            <w:pPr>
              <w:spacing w:before="60" w:after="60" w:line="240" w:lineRule="auto"/>
              <w:jc w:val="both"/>
              <w:rPr>
                <w:rFonts w:hint="eastAsia"/>
                <w:lang w:eastAsia="zh-CN"/>
              </w:rPr>
            </w:pPr>
            <w:r>
              <w:rPr>
                <w:color w:val="000000"/>
                <w:sz w:val="28"/>
                <w:lang w:eastAsia="zh-CN"/>
              </w:rPr>
              <w:t>《高等数学（上册）》，南京航空航天大学高等数学编写组，高等教育出版社（2025），ISBN：978-7-04-064931-4；尺寸 185mm × 260mm，预估重量约 580g。</w:t>
            </w:r>
          </w:p>
        </w:tc>
      </w:tr>
    </w:tbl>
    <w:p w14:paraId="237DD09B">
      <w:pPr>
        <w:spacing w:after="0" w:line="560" w:lineRule="exact"/>
        <w:ind w:firstLine="640"/>
        <w:jc w:val="both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操作流程：将承载板、模型放置在起点 A，参赛队员将</w:t>
      </w:r>
      <w:r>
        <w:rPr>
          <w:rFonts w:hint="eastAsia"/>
          <w:color w:val="000000"/>
          <w:sz w:val="32"/>
          <w:lang w:eastAsia="zh-CN"/>
        </w:rPr>
        <w:t>组委会提供的</w:t>
      </w:r>
      <w:r>
        <w:rPr>
          <w:color w:val="000000"/>
          <w:sz w:val="32"/>
          <w:lang w:eastAsia="zh-CN"/>
        </w:rPr>
        <w:t>教材平稳放置于模型塔顶；计时先行启动，之后参赛队员搬起承载板（连同模型与塔顶教材），携带整套装置从 A 出发，绕行经过 B 点后直线返回 A 点，平稳放下承载板，计时停止。A、B 两点间距 10m。</w:t>
      </w:r>
    </w:p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2"/>
      </w:tblGrid>
      <w:tr w14:paraId="6023B7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2CB890BE">
            <w:pPr>
              <w:spacing w:before="60" w:after="60" w:line="240" w:lineRule="auto"/>
              <w:jc w:val="both"/>
              <w:rPr>
                <w:rFonts w:hint="eastAsia"/>
                <w:lang w:eastAsia="zh-CN"/>
              </w:rPr>
            </w:pPr>
            <w:r>
              <w:rPr>
                <w:color w:val="000000"/>
                <w:sz w:val="28"/>
                <w:lang w:eastAsia="zh-CN"/>
              </w:rPr>
              <w:t>操作要求：搬运和计时操作由同一名参赛队员独立完成。</w:t>
            </w:r>
            <w:r>
              <w:rPr>
                <w:lang w:eastAsia="zh-CN"/>
              </w:rPr>
              <w:t xml:space="preserve"> </w:t>
            </w:r>
          </w:p>
          <w:p w14:paraId="3F9598F9">
            <w:pPr>
              <w:spacing w:before="60" w:after="60" w:line="240" w:lineRule="auto"/>
              <w:jc w:val="both"/>
              <w:rPr>
                <w:rFonts w:hint="eastAsia"/>
                <w:lang w:eastAsia="zh-CN"/>
              </w:rPr>
            </w:pPr>
            <w:r>
              <w:rPr>
                <w:color w:val="000000"/>
                <w:sz w:val="28"/>
                <w:lang w:eastAsia="zh-CN"/>
              </w:rPr>
              <w:t xml:space="preserve"> 任务有效判定（需同时全部满足）：</w:t>
            </w:r>
            <w:r>
              <w:rPr>
                <w:lang w:eastAsia="zh-CN"/>
              </w:rPr>
              <w:t xml:space="preserve"> </w:t>
            </w:r>
          </w:p>
          <w:p w14:paraId="691A5B07">
            <w:pPr>
              <w:spacing w:before="60" w:after="60" w:line="240" w:lineRule="auto"/>
              <w:jc w:val="both"/>
              <w:rPr>
                <w:rFonts w:hint="eastAsia"/>
                <w:lang w:eastAsia="zh-CN"/>
              </w:rPr>
            </w:pPr>
            <w:r>
              <w:rPr>
                <w:color w:val="000000"/>
                <w:sz w:val="28"/>
                <w:lang w:eastAsia="zh-CN"/>
              </w:rPr>
              <w:t>① 模型高度 ≥ 25cm；② 全程搬运过程中教材不得从模型顶部滑落</w:t>
            </w:r>
            <w:r>
              <w:rPr>
                <w:rFonts w:hint="eastAsia"/>
                <w:color w:val="000000"/>
                <w:sz w:val="28"/>
                <w:lang w:eastAsia="zh-CN"/>
              </w:rPr>
              <w:t>且参赛队员不得触碰模型及指定教材（仅可触碰承载板）</w:t>
            </w:r>
            <w:r>
              <w:rPr>
                <w:color w:val="000000"/>
                <w:sz w:val="28"/>
                <w:lang w:eastAsia="zh-CN"/>
              </w:rPr>
              <w:t>；③ 模型不得倒塌；④ 按规定路线绕行 B 点。</w:t>
            </w:r>
            <w:r>
              <w:rPr>
                <w:lang w:eastAsia="zh-CN"/>
              </w:rPr>
              <w:t xml:space="preserve"> </w:t>
            </w:r>
          </w:p>
          <w:p w14:paraId="3322FBD4">
            <w:pPr>
              <w:spacing w:before="60" w:after="60" w:line="240" w:lineRule="auto"/>
              <w:jc w:val="both"/>
              <w:rPr>
                <w:rFonts w:hint="eastAsia"/>
                <w:lang w:eastAsia="zh-CN"/>
              </w:rPr>
            </w:pPr>
            <w:r>
              <w:rPr>
                <w:color w:val="000000"/>
                <w:sz w:val="28"/>
                <w:lang w:eastAsia="zh-CN"/>
              </w:rPr>
              <w:t>任意一条不满足，本轮任务判定失败，不计入有效评分。</w:t>
            </w:r>
          </w:p>
        </w:tc>
      </w:tr>
      <w:tr w14:paraId="7E7F2C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5536236A">
            <w:pPr>
              <w:spacing w:before="60" w:after="60" w:line="240" w:lineRule="auto"/>
              <w:jc w:val="both"/>
              <w:rPr>
                <w:rFonts w:hint="eastAsia"/>
                <w:lang w:eastAsia="zh-CN"/>
              </w:rPr>
            </w:pPr>
            <w:r>
              <w:rPr>
                <w:color w:val="000000"/>
                <w:sz w:val="28"/>
                <w:lang w:eastAsia="zh-CN"/>
              </w:rPr>
              <w:t>测量定义：</w:t>
            </w:r>
            <w:r>
              <w:rPr>
                <w:lang w:eastAsia="zh-CN"/>
              </w:rPr>
              <w:t xml:space="preserve"> </w:t>
            </w:r>
          </w:p>
          <w:p w14:paraId="18F987F4">
            <w:pPr>
              <w:spacing w:before="60" w:after="60" w:line="240" w:lineRule="auto"/>
              <w:jc w:val="both"/>
              <w:rPr>
                <w:rFonts w:hint="eastAsia"/>
                <w:lang w:eastAsia="zh-CN"/>
              </w:rPr>
            </w:pPr>
            <w:r>
              <w:rPr>
                <w:color w:val="000000"/>
                <w:sz w:val="28"/>
                <w:lang w:eastAsia="zh-CN"/>
              </w:rPr>
              <w:t>模型自重 m：完成制作后的纸结构 + 所用双面胶总质量，不含承载板、高数教材；单位 g。自重越小越好。</w:t>
            </w:r>
            <w:r>
              <w:rPr>
                <w:lang w:eastAsia="zh-CN"/>
              </w:rPr>
              <w:t xml:space="preserve"> </w:t>
            </w:r>
          </w:p>
          <w:p w14:paraId="37E16B71">
            <w:pPr>
              <w:spacing w:before="60" w:after="60" w:line="240" w:lineRule="auto"/>
              <w:jc w:val="both"/>
              <w:rPr>
                <w:rFonts w:hint="eastAsia"/>
                <w:lang w:eastAsia="zh-CN"/>
              </w:rPr>
            </w:pPr>
            <w:r>
              <w:rPr>
                <w:color w:val="000000"/>
                <w:sz w:val="28"/>
                <w:lang w:eastAsia="zh-CN"/>
              </w:rPr>
              <w:t>模型高度 h：承载板板面至模型顶端的垂直高度，单位 cm。高度越大越好，最低限值 25cm。</w:t>
            </w:r>
            <w:r>
              <w:rPr>
                <w:lang w:eastAsia="zh-CN"/>
              </w:rPr>
              <w:t xml:space="preserve"> </w:t>
            </w:r>
          </w:p>
          <w:p w14:paraId="5DE392AF">
            <w:pPr>
              <w:spacing w:before="60" w:after="60" w:line="240" w:lineRule="auto"/>
              <w:jc w:val="both"/>
              <w:rPr>
                <w:rFonts w:hint="eastAsia"/>
                <w:lang w:eastAsia="zh-CN"/>
              </w:rPr>
            </w:pPr>
            <w:r>
              <w:rPr>
                <w:color w:val="000000"/>
                <w:sz w:val="28"/>
                <w:lang w:eastAsia="zh-CN"/>
              </w:rPr>
              <w:t>搬运耗时 t：计时启动至放下承载板的总时长，单位s。耗时越小越好。</w:t>
            </w:r>
          </w:p>
        </w:tc>
      </w:tr>
    </w:tbl>
    <w:p w14:paraId="6FCBA3D4">
      <w:pPr>
        <w:pStyle w:val="4"/>
        <w:spacing w:before="80" w:line="560" w:lineRule="exact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三、评分指标与排名规则</w:t>
      </w:r>
    </w:p>
    <w:p w14:paraId="7258F9D1">
      <w:pPr>
        <w:spacing w:after="0" w:line="560" w:lineRule="exact"/>
        <w:ind w:firstLine="640"/>
        <w:jc w:val="both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仅任务成功的队伍参与加权计分；任务失败队伍不计入归一统计，排名置于所有有效队伍之后。</w:t>
      </w:r>
    </w:p>
    <w:p w14:paraId="5A74C63A">
      <w:pPr>
        <w:pStyle w:val="5"/>
        <w:spacing w:before="80" w:line="560" w:lineRule="exact"/>
        <w:rPr>
          <w:rFonts w:hint="eastAsia"/>
        </w:rPr>
      </w:pPr>
      <w:r>
        <w:rPr>
          <w:color w:val="000000"/>
          <w:sz w:val="32"/>
        </w:rPr>
        <w:t>计算公式</w:t>
      </w:r>
    </w:p>
    <w:p w14:paraId="4CE59049">
      <w:pPr>
        <w:spacing w:before="80" w:after="80" w:line="560" w:lineRule="exact"/>
        <w:jc w:val="center"/>
        <w:rPr>
          <w:rFonts w:hint="eastAsia"/>
        </w:rPr>
      </w:pPr>
      <w:r>
        <w:rPr>
          <w:color w:val="000000"/>
          <w:sz w:val="32"/>
        </w:rPr>
        <w:t>S =</w:t>
      </w:r>
      <w:r>
        <w:rPr>
          <w:rFonts w:hint="eastAsia"/>
          <w:color w:val="000000"/>
          <w:sz w:val="32"/>
          <w:lang w:eastAsia="zh-CN"/>
        </w:rPr>
        <w:t>100</w:t>
      </w:r>
      <w:r>
        <w:rPr>
          <w:color w:val="000000"/>
          <w:sz w:val="32"/>
          <w:lang w:eastAsia="zh-CN"/>
        </w:rPr>
        <w:t>×</w:t>
      </w:r>
      <w:r>
        <w:rPr>
          <w:rFonts w:hint="eastAsia"/>
          <w:color w:val="000000"/>
          <w:sz w:val="32"/>
          <w:lang w:eastAsia="zh-CN"/>
        </w:rPr>
        <w:t>（</w:t>
      </w:r>
      <w:r>
        <w:rPr>
          <w:color w:val="000000"/>
          <w:sz w:val="32"/>
        </w:rPr>
        <w:t>w</w:t>
      </w:r>
      <w:r>
        <w:rPr>
          <w:color w:val="000000"/>
          <w:sz w:val="32"/>
          <w:vertAlign w:val="subscript"/>
        </w:rPr>
        <w:t>h</w:t>
      </w:r>
      <w:r>
        <w:rPr>
          <w:color w:val="000000"/>
          <w:sz w:val="32"/>
          <w:lang w:eastAsia="zh-CN"/>
        </w:rPr>
        <w:t>×</w:t>
      </w:r>
      <w:r>
        <w:rPr>
          <w:color w:val="000000"/>
          <w:sz w:val="32"/>
        </w:rPr>
        <w:t>h/h</w:t>
      </w:r>
      <w:r>
        <w:rPr>
          <w:color w:val="000000"/>
          <w:sz w:val="32"/>
          <w:vertAlign w:val="subscript"/>
        </w:rPr>
        <w:t>max</w:t>
      </w:r>
      <w:r>
        <w:rPr>
          <w:color w:val="000000"/>
          <w:sz w:val="32"/>
        </w:rPr>
        <w:t>+w</w:t>
      </w:r>
      <w:r>
        <w:rPr>
          <w:color w:val="000000"/>
          <w:sz w:val="32"/>
          <w:vertAlign w:val="subscript"/>
        </w:rPr>
        <w:t>m</w:t>
      </w:r>
      <w:r>
        <w:rPr>
          <w:color w:val="000000"/>
          <w:sz w:val="32"/>
          <w:lang w:eastAsia="zh-CN"/>
        </w:rPr>
        <w:t>×</w:t>
      </w:r>
      <w:r>
        <w:rPr>
          <w:color w:val="000000"/>
          <w:sz w:val="32"/>
        </w:rPr>
        <w:t>m</w:t>
      </w:r>
      <w:r>
        <w:rPr>
          <w:color w:val="000000"/>
          <w:sz w:val="32"/>
          <w:vertAlign w:val="subscript"/>
        </w:rPr>
        <w:t>min</w:t>
      </w:r>
      <w:r>
        <w:rPr>
          <w:color w:val="000000"/>
          <w:sz w:val="32"/>
        </w:rPr>
        <w:t>/m+w</w:t>
      </w:r>
      <w:r>
        <w:rPr>
          <w:color w:val="000000"/>
          <w:sz w:val="32"/>
          <w:vertAlign w:val="subscript"/>
        </w:rPr>
        <w:t>t</w:t>
      </w:r>
      <w:r>
        <w:rPr>
          <w:color w:val="000000"/>
          <w:sz w:val="32"/>
          <w:lang w:eastAsia="zh-CN"/>
        </w:rPr>
        <w:t>×</w:t>
      </w:r>
      <w:r>
        <w:rPr>
          <w:color w:val="000000"/>
          <w:sz w:val="32"/>
        </w:rPr>
        <w:t>t</w:t>
      </w:r>
      <w:r>
        <w:rPr>
          <w:color w:val="000000"/>
          <w:sz w:val="32"/>
          <w:vertAlign w:val="subscript"/>
        </w:rPr>
        <w:t>min</w:t>
      </w:r>
      <w:r>
        <w:rPr>
          <w:color w:val="000000"/>
          <w:sz w:val="32"/>
        </w:rPr>
        <w:t>/t</w:t>
      </w:r>
      <w:r>
        <w:rPr>
          <w:rFonts w:hint="eastAsia"/>
          <w:color w:val="000000"/>
          <w:sz w:val="32"/>
          <w:lang w:eastAsia="zh-CN"/>
        </w:rPr>
        <w:t>）</w:t>
      </w:r>
    </w:p>
    <w:p w14:paraId="1DDD2BF8">
      <w:pPr>
        <w:spacing w:after="0" w:line="560" w:lineRule="exact"/>
        <w:ind w:firstLine="640"/>
        <w:jc w:val="both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h</w:t>
      </w:r>
      <w:r>
        <w:rPr>
          <w:color w:val="000000"/>
          <w:sz w:val="32"/>
          <w:vertAlign w:val="subscript"/>
          <w:lang w:eastAsia="zh-CN"/>
        </w:rPr>
        <w:t>max</w:t>
      </w:r>
      <w:r>
        <w:rPr>
          <w:color w:val="000000"/>
          <w:sz w:val="32"/>
          <w:lang w:eastAsia="zh-CN"/>
        </w:rPr>
        <w:t>：所有有效队伍中的模型最大高度（cm）</w:t>
      </w:r>
    </w:p>
    <w:p w14:paraId="48EC8EB4">
      <w:pPr>
        <w:spacing w:after="0" w:line="560" w:lineRule="exact"/>
        <w:ind w:firstLine="640"/>
        <w:jc w:val="both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m</w:t>
      </w:r>
      <w:r>
        <w:rPr>
          <w:color w:val="000000"/>
          <w:sz w:val="32"/>
          <w:vertAlign w:val="subscript"/>
          <w:lang w:eastAsia="zh-CN"/>
        </w:rPr>
        <w:t>min</w:t>
      </w:r>
      <w:r>
        <w:rPr>
          <w:color w:val="000000"/>
          <w:sz w:val="32"/>
          <w:lang w:eastAsia="zh-CN"/>
        </w:rPr>
        <w:t>：所有有效队伍中的模型最小自重（g）</w:t>
      </w:r>
    </w:p>
    <w:p w14:paraId="362B5F6A">
      <w:pPr>
        <w:spacing w:after="0" w:line="560" w:lineRule="exact"/>
        <w:ind w:firstLine="640"/>
        <w:jc w:val="both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t</w:t>
      </w:r>
      <w:r>
        <w:rPr>
          <w:color w:val="000000"/>
          <w:sz w:val="32"/>
          <w:vertAlign w:val="subscript"/>
          <w:lang w:eastAsia="zh-CN"/>
        </w:rPr>
        <w:t>min</w:t>
      </w:r>
      <w:r>
        <w:rPr>
          <w:color w:val="000000"/>
          <w:sz w:val="32"/>
          <w:lang w:eastAsia="zh-CN"/>
        </w:rPr>
        <w:t>：所有有效队伍中的最短搬运耗时（s）</w:t>
      </w:r>
    </w:p>
    <w:p w14:paraId="38F83F0C">
      <w:pPr>
        <w:spacing w:after="0" w:line="560" w:lineRule="exact"/>
        <w:ind w:firstLine="640"/>
        <w:jc w:val="both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w</w:t>
      </w:r>
      <w:r>
        <w:rPr>
          <w:color w:val="000000"/>
          <w:sz w:val="32"/>
          <w:vertAlign w:val="subscript"/>
          <w:lang w:eastAsia="zh-CN"/>
        </w:rPr>
        <w:t>h</w:t>
      </w:r>
      <w:r>
        <w:rPr>
          <w:color w:val="000000"/>
          <w:sz w:val="32"/>
          <w:lang w:eastAsia="zh-CN"/>
        </w:rPr>
        <w:t>、w</w:t>
      </w:r>
      <w:r>
        <w:rPr>
          <w:color w:val="000000"/>
          <w:sz w:val="32"/>
          <w:vertAlign w:val="subscript"/>
          <w:lang w:eastAsia="zh-CN"/>
        </w:rPr>
        <w:t>m</w:t>
      </w:r>
      <w:r>
        <w:rPr>
          <w:color w:val="000000"/>
          <w:sz w:val="32"/>
          <w:lang w:eastAsia="zh-CN"/>
        </w:rPr>
        <w:t>、w</w:t>
      </w:r>
      <w:r>
        <w:rPr>
          <w:color w:val="000000"/>
          <w:sz w:val="32"/>
          <w:vertAlign w:val="subscript"/>
          <w:lang w:eastAsia="zh-CN"/>
        </w:rPr>
        <w:t>t</w:t>
      </w:r>
      <w:r>
        <w:rPr>
          <w:color w:val="000000"/>
          <w:sz w:val="32"/>
          <w:lang w:eastAsia="zh-CN"/>
        </w:rPr>
        <w:t xml:space="preserve"> 分别为高度、自重、耗时的权重。</w:t>
      </w:r>
    </w:p>
    <w:p w14:paraId="26978B86">
      <w:pPr>
        <w:spacing w:after="0" w:line="560" w:lineRule="exact"/>
        <w:ind w:firstLine="640"/>
        <w:jc w:val="both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权重设置：w</w:t>
      </w:r>
      <w:r>
        <w:rPr>
          <w:color w:val="000000"/>
          <w:sz w:val="32"/>
          <w:vertAlign w:val="subscript"/>
          <w:lang w:eastAsia="zh-CN"/>
        </w:rPr>
        <w:t>h</w:t>
      </w:r>
      <w:r>
        <w:rPr>
          <w:color w:val="000000"/>
          <w:sz w:val="32"/>
          <w:lang w:eastAsia="zh-CN"/>
        </w:rPr>
        <w:t xml:space="preserve"> = 0.4，w</w:t>
      </w:r>
      <w:r>
        <w:rPr>
          <w:color w:val="000000"/>
          <w:sz w:val="32"/>
          <w:vertAlign w:val="subscript"/>
          <w:lang w:eastAsia="zh-CN"/>
        </w:rPr>
        <w:t>m</w:t>
      </w:r>
      <w:r>
        <w:rPr>
          <w:color w:val="000000"/>
          <w:sz w:val="32"/>
          <w:lang w:eastAsia="zh-CN"/>
        </w:rPr>
        <w:t xml:space="preserve"> = 0.3，w</w:t>
      </w:r>
      <w:r>
        <w:rPr>
          <w:color w:val="000000"/>
          <w:sz w:val="32"/>
          <w:vertAlign w:val="subscript"/>
          <w:lang w:eastAsia="zh-CN"/>
        </w:rPr>
        <w:t>t</w:t>
      </w:r>
      <w:r>
        <w:rPr>
          <w:color w:val="000000"/>
          <w:sz w:val="32"/>
          <w:lang w:eastAsia="zh-CN"/>
        </w:rPr>
        <w:t xml:space="preserve"> = 0.3</w:t>
      </w:r>
    </w:p>
    <w:p w14:paraId="1ED05731">
      <w:pPr>
        <w:spacing w:after="0" w:line="560" w:lineRule="exact"/>
        <w:ind w:firstLine="640"/>
        <w:jc w:val="both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 xml:space="preserve">总分 S </w:t>
      </w:r>
      <w:r>
        <w:rPr>
          <w:rFonts w:hint="eastAsia"/>
          <w:color w:val="000000"/>
          <w:sz w:val="32"/>
          <w:lang w:eastAsia="zh-CN"/>
        </w:rPr>
        <w:t>（保留1位小数）</w:t>
      </w:r>
      <w:r>
        <w:rPr>
          <w:color w:val="000000"/>
          <w:sz w:val="32"/>
          <w:lang w:eastAsia="zh-CN"/>
        </w:rPr>
        <w:t>越高，队伍排名越靠前。</w:t>
      </w:r>
    </w:p>
    <w:p w14:paraId="39ADBF87">
      <w:pPr>
        <w:pStyle w:val="5"/>
        <w:spacing w:before="80" w:line="560" w:lineRule="exact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并列处理规则</w:t>
      </w:r>
    </w:p>
    <w:p w14:paraId="599977E1">
      <w:pPr>
        <w:spacing w:after="0" w:line="560" w:lineRule="exact"/>
        <w:ind w:firstLine="640"/>
        <w:jc w:val="both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若总分 S 相同，优先比较模型高度 h，高度更高者排名靠前；</w:t>
      </w:r>
    </w:p>
    <w:p w14:paraId="6F98EAC5">
      <w:pPr>
        <w:spacing w:after="0" w:line="560" w:lineRule="exact"/>
        <w:ind w:firstLine="640"/>
        <w:jc w:val="both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高度仍相同，则比较模型自重 m，自重更轻者排名靠前；</w:t>
      </w:r>
    </w:p>
    <w:p w14:paraId="58738751">
      <w:pPr>
        <w:spacing w:after="0" w:line="560" w:lineRule="exact"/>
        <w:ind w:firstLine="640"/>
        <w:jc w:val="both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自重仍相同，再比较搬运耗时 t，耗时更短者排名靠前。</w:t>
      </w:r>
    </w:p>
    <w:p w14:paraId="631B2316">
      <w:pPr>
        <w:pStyle w:val="4"/>
        <w:spacing w:before="80" w:line="560" w:lineRule="exact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四、赛场补充条款</w:t>
      </w:r>
    </w:p>
    <w:p w14:paraId="231DFC14">
      <w:pPr>
        <w:spacing w:after="0" w:line="560" w:lineRule="exact"/>
        <w:ind w:firstLine="640"/>
        <w:jc w:val="both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现场制作时长</w:t>
      </w:r>
      <w:r>
        <w:rPr>
          <w:rFonts w:hint="eastAsia"/>
          <w:color w:val="000000"/>
          <w:sz w:val="32"/>
          <w:lang w:eastAsia="zh-CN"/>
        </w:rPr>
        <w:t>限定</w:t>
      </w:r>
      <w:r>
        <w:rPr>
          <w:color w:val="000000"/>
          <w:sz w:val="32"/>
          <w:lang w:eastAsia="zh-CN"/>
        </w:rPr>
        <w:t xml:space="preserve">为 </w:t>
      </w:r>
      <w:r>
        <w:rPr>
          <w:rFonts w:hint="eastAsia"/>
          <w:color w:val="000000"/>
          <w:sz w:val="32"/>
          <w:lang w:eastAsia="zh-CN"/>
        </w:rPr>
        <w:t>1</w:t>
      </w:r>
      <w:r>
        <w:rPr>
          <w:color w:val="000000"/>
          <w:sz w:val="32"/>
          <w:lang w:eastAsia="zh-CN"/>
        </w:rPr>
        <w:t>.5 小时；</w:t>
      </w:r>
    </w:p>
    <w:p w14:paraId="505C531F">
      <w:pPr>
        <w:spacing w:after="0" w:line="560" w:lineRule="exact"/>
        <w:ind w:firstLine="640"/>
        <w:jc w:val="both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每队仅有 1 次正式测试机会，赛前可进行裁判在场的预放置荷载检查；</w:t>
      </w:r>
    </w:p>
    <w:p w14:paraId="00EDAD86">
      <w:pPr>
        <w:spacing w:after="0" w:line="560" w:lineRule="exact"/>
        <w:ind w:firstLine="640"/>
        <w:jc w:val="both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模型在搬运过程中发生变形但未倒塌、教材未掉落，任务依然有效，正常计分；</w:t>
      </w:r>
    </w:p>
    <w:p w14:paraId="39269851">
      <w:pPr>
        <w:spacing w:after="0" w:line="560" w:lineRule="exact"/>
        <w:ind w:firstLine="640"/>
        <w:jc w:val="both"/>
        <w:rPr>
          <w:rFonts w:hint="eastAsia"/>
          <w:lang w:eastAsia="zh-CN"/>
        </w:rPr>
      </w:pPr>
      <w:r>
        <w:rPr>
          <w:color w:val="000000"/>
          <w:sz w:val="32"/>
          <w:lang w:eastAsia="zh-CN"/>
        </w:rPr>
        <w:t>教材放置：队员在计时开始前，自行将教材安放至模型塔顶；安放完成、确认就绪后，再启动计时；</w:t>
      </w:r>
    </w:p>
    <w:p w14:paraId="18AE1C78">
      <w:pPr>
        <w:spacing w:after="0" w:line="560" w:lineRule="exact"/>
        <w:ind w:firstLine="640"/>
        <w:jc w:val="both"/>
        <w:rPr>
          <w:rFonts w:hint="eastAsia"/>
          <w:color w:val="000000"/>
          <w:sz w:val="32"/>
          <w:lang w:eastAsia="zh-CN"/>
        </w:rPr>
      </w:pPr>
      <w:r>
        <w:rPr>
          <w:color w:val="000000"/>
          <w:sz w:val="32"/>
          <w:lang w:eastAsia="zh-CN"/>
        </w:rPr>
        <w:t>测量数值保留 1 位小数；称重、高度、计时均由现场裁判记录。</w:t>
      </w:r>
    </w:p>
    <w:p w14:paraId="6A86D9A5">
      <w:pPr>
        <w:spacing w:after="0" w:line="560" w:lineRule="exact"/>
        <w:ind w:firstLine="640"/>
        <w:jc w:val="both"/>
        <w:rPr>
          <w:rFonts w:hint="eastAsia"/>
          <w:color w:val="000000"/>
          <w:sz w:val="32"/>
          <w:lang w:eastAsia="zh-CN"/>
        </w:rPr>
      </w:pPr>
    </w:p>
    <w:p w14:paraId="525875AB">
      <w:pPr>
        <w:spacing w:after="0" w:line="560" w:lineRule="exact"/>
        <w:ind w:firstLine="640"/>
        <w:jc w:val="both"/>
        <w:rPr>
          <w:rFonts w:hint="eastAsia"/>
          <w:lang w:eastAsia="zh-CN"/>
        </w:rPr>
      </w:pPr>
      <w:r>
        <w:rPr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1001395</wp:posOffset>
            </wp:positionH>
            <wp:positionV relativeFrom="paragraph">
              <wp:posOffset>593725</wp:posOffset>
            </wp:positionV>
            <wp:extent cx="3267075" cy="2909570"/>
            <wp:effectExtent l="0" t="0" r="9525" b="5080"/>
            <wp:wrapTopAndBottom/>
            <wp:docPr id="126190203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902037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2909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color w:val="000000"/>
          <w:sz w:val="32"/>
          <w:lang w:eastAsia="zh-CN"/>
        </w:rPr>
        <w:t>双面胶参考规格：</w:t>
      </w:r>
    </w:p>
    <w:sectPr>
      <w:pgSz w:w="11906" w:h="16838"/>
      <w:pgMar w:top="1440" w:right="1797" w:bottom="1440" w:left="179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ＭＳ 明朝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11437"/>
    <w:rsid w:val="00034616"/>
    <w:rsid w:val="0006063C"/>
    <w:rsid w:val="000976C9"/>
    <w:rsid w:val="000A34AB"/>
    <w:rsid w:val="000F0023"/>
    <w:rsid w:val="00107D58"/>
    <w:rsid w:val="0015074B"/>
    <w:rsid w:val="001F178A"/>
    <w:rsid w:val="0029639D"/>
    <w:rsid w:val="00326F90"/>
    <w:rsid w:val="00467764"/>
    <w:rsid w:val="0066354A"/>
    <w:rsid w:val="00752287"/>
    <w:rsid w:val="007D19FB"/>
    <w:rsid w:val="007F2361"/>
    <w:rsid w:val="007F4E30"/>
    <w:rsid w:val="00995F1A"/>
    <w:rsid w:val="00A445DD"/>
    <w:rsid w:val="00AA1D8D"/>
    <w:rsid w:val="00B24FD4"/>
    <w:rsid w:val="00B47730"/>
    <w:rsid w:val="00C5206D"/>
    <w:rsid w:val="00CB0664"/>
    <w:rsid w:val="00D25303"/>
    <w:rsid w:val="00DB7615"/>
    <w:rsid w:val="00EB3E71"/>
    <w:rsid w:val="00F6685E"/>
    <w:rsid w:val="00FC4E3F"/>
    <w:rsid w:val="00FC693F"/>
    <w:rsid w:val="00FF3230"/>
    <w:rsid w:val="437B45DF"/>
    <w:rsid w:val="526D3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qFormat="1" w:unhideWhenUsed="0" w:uiPriority="70" w:semiHidden="0" w:name="Dark List"/>
    <w:lsdException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仿宋" w:hAnsi="仿宋" w:eastAsia="仿宋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="黑体" w:hAnsi="黑体" w:eastAsia="黑体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="黑体" w:hAnsi="黑体" w:eastAsia="黑体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="黑体" w:hAnsi="黑体" w:eastAsia="黑体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qFormat/>
    <w:uiPriority w:val="99"/>
  </w:style>
  <w:style w:type="character" w:customStyle="1" w:styleId="136">
    <w:name w:val="页脚 字符"/>
    <w:basedOn w:val="132"/>
    <w:link w:val="24"/>
    <w:qFormat/>
    <w:uiPriority w:val="99"/>
  </w:style>
  <w:style w:type="paragraph" w:styleId="137">
    <w:name w:val="No Spacing"/>
    <w:qFormat/>
    <w:uiPriority w:val="1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qFormat/>
    <w:uiPriority w:val="99"/>
  </w:style>
  <w:style w:type="character" w:customStyle="1" w:styleId="145">
    <w:name w:val="正文文本 2 字符"/>
    <w:basedOn w:val="132"/>
    <w:link w:val="28"/>
    <w:qFormat/>
    <w:uiPriority w:val="99"/>
  </w:style>
  <w:style w:type="character" w:customStyle="1" w:styleId="146">
    <w:name w:val="正文文本 3 字符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不明显强调1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明显强调1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不明显参考1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明显参考1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书籍标题1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标题1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2597</Words>
  <Characters>2818</Characters>
  <Lines>22</Lines>
  <Paragraphs>6</Paragraphs>
  <TotalTime>28</TotalTime>
  <ScaleCrop>false</ScaleCrop>
  <LinksUpToDate>false</LinksUpToDate>
  <CharactersWithSpaces>3033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WPS_1722386164</cp:lastModifiedBy>
  <dcterms:modified xsi:type="dcterms:W3CDTF">2026-10-11T08:38:51Z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eyJoZGlkIjoiMzExNTEyYzRiNmRjYzQ0NjMzZjUxYWQ3NTkzMTRlNDciLCJ1c2VySWQiOiIxNzc3NzA1NzcyIn0=</vt:lpwstr>
  </property>
  <property fmtid="{D5CDD505-2E9C-101B-9397-08002B2CF9AE}" pid="3" name="KSOProductBuildVer">
    <vt:lpwstr>2052-12.1.0.28505</vt:lpwstr>
  </property>
  <property fmtid="{D5CDD505-2E9C-101B-9397-08002B2CF9AE}" pid="4" name="ICV">
    <vt:lpwstr>6D4B6299646F4DECBFC157C31B2F2BE0_13</vt:lpwstr>
  </property>
</Properties>
</file>