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南京航空航天大学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第十二届结构创新大赛赛题</w:t>
      </w:r>
    </w:p>
    <w:p>
      <w:pPr>
        <w:pStyle w:val="9"/>
        <w:spacing w:line="560" w:lineRule="exact"/>
        <w:ind w:left="0" w:leftChars="0" w:firstLine="0" w:firstLineChars="0"/>
        <w:jc w:val="left"/>
        <w:rPr>
          <w:rFonts w:ascii="仿宋_GB2312" w:hAnsi="宋体" w:eastAsia="仿宋_GB2312" w:cs="黑体"/>
          <w:b/>
          <w:sz w:val="36"/>
          <w:szCs w:val="36"/>
        </w:rPr>
      </w:pPr>
      <w:r>
        <w:rPr>
          <w:rFonts w:hint="eastAsia" w:ascii="仿宋_GB2312" w:hAnsi="宋体" w:eastAsia="仿宋_GB2312" w:cs="黑体"/>
          <w:b/>
          <w:sz w:val="36"/>
          <w:szCs w:val="36"/>
        </w:rPr>
        <w:t>加载组：</w:t>
      </w:r>
    </w:p>
    <w:p>
      <w:pPr>
        <w:pStyle w:val="9"/>
        <w:spacing w:line="560" w:lineRule="exact"/>
        <w:ind w:left="0" w:leftChars="0" w:firstLine="0" w:firstLineChars="0"/>
        <w:jc w:val="left"/>
        <w:rPr>
          <w:rFonts w:ascii="仿宋_GB2312" w:hAnsi="宋体" w:eastAsia="仿宋_GB2312" w:cs="黑体"/>
          <w:b/>
          <w:sz w:val="32"/>
          <w:szCs w:val="32"/>
        </w:rPr>
      </w:pPr>
      <w:r>
        <w:rPr>
          <w:rFonts w:hint="eastAsia" w:ascii="仿宋_GB2312" w:hAnsi="宋体" w:eastAsia="仿宋_GB2312" w:cs="黑体"/>
          <w:b/>
          <w:sz w:val="32"/>
          <w:szCs w:val="32"/>
        </w:rPr>
        <w:t>一、竞赛模型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ascii="仿宋_GB2312" w:hAnsi="宋体" w:eastAsia="仿宋_GB2312" w:cs="黑体"/>
          <w:sz w:val="32"/>
          <w:szCs w:val="32"/>
        </w:rPr>
        <w:t>用A4纸</w:t>
      </w:r>
      <w:r>
        <w:rPr>
          <w:rFonts w:hint="eastAsia" w:ascii="仿宋_GB2312" w:hAnsi="宋体" w:eastAsia="仿宋_GB2312" w:cs="黑体"/>
          <w:sz w:val="32"/>
          <w:szCs w:val="32"/>
        </w:rPr>
        <w:t>（约210mm×297mm）</w:t>
      </w:r>
      <w:r>
        <w:rPr>
          <w:rFonts w:ascii="仿宋_GB2312" w:hAnsi="宋体" w:eastAsia="仿宋_GB2312" w:cs="黑体"/>
          <w:sz w:val="32"/>
          <w:szCs w:val="32"/>
        </w:rPr>
        <w:t>搭建一个可以承重的</w:t>
      </w:r>
      <w:r>
        <w:rPr>
          <w:rFonts w:hint="eastAsia" w:ascii="仿宋_GB2312" w:hAnsi="宋体" w:eastAsia="仿宋_GB2312" w:cs="黑体"/>
          <w:sz w:val="32"/>
          <w:szCs w:val="32"/>
        </w:rPr>
        <w:t>二层</w:t>
      </w:r>
      <w:r>
        <w:rPr>
          <w:rFonts w:ascii="仿宋_GB2312" w:hAnsi="宋体" w:eastAsia="仿宋_GB2312" w:cs="黑体"/>
          <w:sz w:val="32"/>
          <w:szCs w:val="32"/>
        </w:rPr>
        <w:t>结构</w:t>
      </w:r>
      <w:r>
        <w:rPr>
          <w:rFonts w:hint="eastAsia" w:ascii="仿宋_GB2312" w:hAnsi="宋体" w:eastAsia="仿宋_GB2312" w:cs="黑体"/>
          <w:sz w:val="32"/>
          <w:szCs w:val="32"/>
        </w:rPr>
        <w:t>模型，具体结构形式不限。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</w:p>
    <w:p>
      <w:pPr>
        <w:pStyle w:val="9"/>
        <w:spacing w:line="560" w:lineRule="exact"/>
        <w:ind w:left="0" w:leftChars="0" w:firstLine="0" w:firstLineChars="0"/>
        <w:jc w:val="left"/>
        <w:rPr>
          <w:rFonts w:ascii="仿宋_GB2312" w:hAnsi="宋体" w:eastAsia="仿宋_GB2312" w:cs="黑体"/>
          <w:b/>
          <w:sz w:val="32"/>
          <w:szCs w:val="32"/>
        </w:rPr>
      </w:pPr>
      <w:r>
        <w:rPr>
          <w:rFonts w:hint="eastAsia" w:ascii="仿宋_GB2312" w:hAnsi="宋体" w:eastAsia="仿宋_GB2312" w:cs="黑体"/>
          <w:b/>
          <w:sz w:val="32"/>
          <w:szCs w:val="32"/>
        </w:rPr>
        <w:t>二、</w:t>
      </w:r>
      <w:r>
        <w:rPr>
          <w:rFonts w:ascii="仿宋_GB2312" w:hAnsi="宋体" w:eastAsia="仿宋_GB2312" w:cs="黑体"/>
          <w:b/>
          <w:sz w:val="32"/>
          <w:szCs w:val="32"/>
        </w:rPr>
        <w:t>材料和工具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ascii="仿宋_GB2312" w:hAnsi="宋体" w:eastAsia="仿宋_GB2312" w:cs="黑体"/>
          <w:sz w:val="32"/>
          <w:szCs w:val="32"/>
        </w:rPr>
        <w:t>（1）限用A4纸(废旧或新皆可)、胶水</w:t>
      </w:r>
      <w:r>
        <w:rPr>
          <w:rFonts w:hint="eastAsia" w:ascii="仿宋_GB2312" w:hAnsi="宋体" w:eastAsia="仿宋_GB2312" w:cs="黑体"/>
          <w:sz w:val="32"/>
          <w:szCs w:val="32"/>
        </w:rPr>
        <w:t>、</w:t>
      </w:r>
      <w:r>
        <w:rPr>
          <w:rFonts w:ascii="仿宋_GB2312" w:hAnsi="宋体" w:eastAsia="仿宋_GB2312" w:cs="黑体"/>
          <w:sz w:val="32"/>
          <w:szCs w:val="32"/>
        </w:rPr>
        <w:t>彩色涂料或喷漆，不得使用其他材料制作作品（如木</w:t>
      </w:r>
      <w:r>
        <w:rPr>
          <w:rFonts w:hint="eastAsia" w:ascii="仿宋_GB2312" w:hAnsi="宋体" w:eastAsia="仿宋_GB2312" w:cs="黑体"/>
          <w:sz w:val="32"/>
          <w:szCs w:val="32"/>
        </w:rPr>
        <w:t>、</w:t>
      </w:r>
      <w:r>
        <w:rPr>
          <w:rFonts w:ascii="仿宋_GB2312" w:hAnsi="宋体" w:eastAsia="仿宋_GB2312" w:cs="黑体"/>
          <w:sz w:val="32"/>
          <w:szCs w:val="32"/>
        </w:rPr>
        <w:t>竹</w:t>
      </w:r>
      <w:r>
        <w:rPr>
          <w:rFonts w:hint="eastAsia" w:ascii="仿宋_GB2312" w:hAnsi="宋体" w:eastAsia="仿宋_GB2312" w:cs="黑体"/>
          <w:sz w:val="32"/>
          <w:szCs w:val="32"/>
        </w:rPr>
        <w:t>、塑料、</w:t>
      </w:r>
      <w:r>
        <w:rPr>
          <w:rFonts w:ascii="仿宋_GB2312" w:hAnsi="宋体" w:eastAsia="仿宋_GB2312" w:cs="黑体"/>
          <w:sz w:val="32"/>
          <w:szCs w:val="32"/>
        </w:rPr>
        <w:t>纱线等）。允许用色彩美化作品</w:t>
      </w:r>
      <w:r>
        <w:rPr>
          <w:rFonts w:hint="eastAsia" w:ascii="仿宋_GB2312" w:hAnsi="宋体" w:eastAsia="仿宋_GB2312" w:cs="黑体"/>
          <w:sz w:val="32"/>
          <w:szCs w:val="32"/>
        </w:rPr>
        <w:t>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ascii="仿宋_GB2312" w:hAnsi="宋体" w:eastAsia="仿宋_GB2312" w:cs="黑体"/>
          <w:sz w:val="32"/>
          <w:szCs w:val="32"/>
        </w:rPr>
        <w:t>（2）胶水只作为黏合材料，参赛队不能用其来改变纸的力学特性（如将胶水灌入模型空隙中等），一经发现取消该参赛队比赛资格。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（3）材料和工具由各参赛队自备。</w:t>
      </w:r>
    </w:p>
    <w:p>
      <w:pPr>
        <w:pStyle w:val="9"/>
        <w:spacing w:line="560" w:lineRule="exact"/>
        <w:ind w:left="0" w:leftChars="0" w:firstLine="643"/>
        <w:rPr>
          <w:b/>
          <w:sz w:val="32"/>
          <w:szCs w:val="32"/>
        </w:rPr>
      </w:pPr>
    </w:p>
    <w:p>
      <w:pPr>
        <w:pStyle w:val="9"/>
        <w:spacing w:line="560" w:lineRule="exact"/>
        <w:ind w:left="0" w:leftChars="0" w:firstLine="0" w:firstLineChars="0"/>
        <w:jc w:val="left"/>
        <w:outlineLvl w:val="0"/>
        <w:rPr>
          <w:rFonts w:ascii="仿宋_GB2312" w:hAnsi="宋体" w:eastAsia="仿宋_GB2312" w:cs="黑体"/>
          <w:b/>
          <w:sz w:val="32"/>
          <w:szCs w:val="32"/>
        </w:rPr>
      </w:pPr>
      <w:r>
        <w:rPr>
          <w:rFonts w:hint="eastAsia" w:ascii="仿宋_GB2312" w:hAnsi="宋体" w:eastAsia="仿宋_GB2312" w:cs="黑体"/>
          <w:b/>
          <w:sz w:val="32"/>
          <w:szCs w:val="32"/>
        </w:rPr>
        <w:t>三、模型几何尺寸要求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（</w:t>
      </w:r>
      <w:r>
        <w:rPr>
          <w:rFonts w:ascii="仿宋_GB2312" w:hAnsi="宋体" w:eastAsia="仿宋_GB2312" w:cs="黑体"/>
          <w:sz w:val="32"/>
          <w:szCs w:val="32"/>
        </w:rPr>
        <w:t>1</w:t>
      </w:r>
      <w:r>
        <w:rPr>
          <w:rFonts w:hint="eastAsia" w:ascii="仿宋_GB2312" w:hAnsi="宋体" w:eastAsia="仿宋_GB2312" w:cs="黑体"/>
          <w:sz w:val="32"/>
          <w:szCs w:val="32"/>
        </w:rPr>
        <w:t>）模型总高度</w:t>
      </w:r>
      <w:r>
        <w:rPr>
          <w:rFonts w:eastAsia="仿宋_GB2312"/>
          <w:i/>
          <w:sz w:val="32"/>
          <w:szCs w:val="32"/>
        </w:rPr>
        <w:t>H=600mm</w:t>
      </w:r>
      <w:r>
        <w:rPr>
          <w:rFonts w:hint="eastAsia" w:ascii="仿宋_GB2312" w:eastAsia="仿宋_GB2312"/>
          <w:i/>
          <w:sz w:val="32"/>
          <w:szCs w:val="32"/>
        </w:rPr>
        <w:t>±</w:t>
      </w:r>
      <w:r>
        <w:rPr>
          <w:rFonts w:eastAsia="仿宋_GB2312"/>
          <w:i/>
          <w:sz w:val="32"/>
          <w:szCs w:val="32"/>
        </w:rPr>
        <w:t>15mm</w:t>
      </w:r>
      <w:r>
        <w:rPr>
          <w:rFonts w:hint="eastAsia" w:ascii="仿宋_GB2312" w:hAnsi="宋体" w:eastAsia="仿宋_GB2312" w:cs="黑体"/>
          <w:sz w:val="32"/>
          <w:szCs w:val="32"/>
        </w:rPr>
        <w:t>，总高度为模型底面至模型顶面上表面的垂直距离；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（</w:t>
      </w:r>
      <w:r>
        <w:rPr>
          <w:rFonts w:ascii="仿宋_GB2312" w:hAnsi="宋体" w:eastAsia="仿宋_GB2312" w:cs="黑体"/>
          <w:sz w:val="32"/>
          <w:szCs w:val="32"/>
        </w:rPr>
        <w:t>2</w:t>
      </w:r>
      <w:r>
        <w:rPr>
          <w:rFonts w:hint="eastAsia" w:ascii="仿宋_GB2312" w:hAnsi="宋体" w:eastAsia="仿宋_GB2312" w:cs="黑体"/>
          <w:sz w:val="32"/>
          <w:szCs w:val="32"/>
        </w:rPr>
        <w:t>）模型应具有</w:t>
      </w:r>
      <w:r>
        <w:rPr>
          <w:rFonts w:ascii="仿宋_GB2312" w:hAnsi="宋体" w:eastAsia="仿宋_GB2312" w:cs="黑体"/>
          <w:sz w:val="32"/>
          <w:szCs w:val="32"/>
        </w:rPr>
        <w:t>2</w:t>
      </w:r>
      <w:r>
        <w:rPr>
          <w:rFonts w:hint="eastAsia" w:ascii="仿宋_GB2312" w:hAnsi="宋体" w:eastAsia="仿宋_GB2312" w:cs="黑体"/>
          <w:sz w:val="32"/>
          <w:szCs w:val="32"/>
        </w:rPr>
        <w:t>个楼面（含顶层屋面），二层与顶层楼面应能分别放置重物，承受一定的铅垂载荷。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（</w:t>
      </w:r>
      <w:r>
        <w:rPr>
          <w:rFonts w:ascii="仿宋_GB2312" w:hAnsi="宋体" w:eastAsia="仿宋_GB2312" w:cs="黑体"/>
          <w:sz w:val="32"/>
          <w:szCs w:val="32"/>
        </w:rPr>
        <w:t>3</w:t>
      </w:r>
      <w:r>
        <w:rPr>
          <w:rFonts w:hint="eastAsia" w:ascii="仿宋_GB2312" w:hAnsi="宋体" w:eastAsia="仿宋_GB2312" w:cs="黑体"/>
          <w:sz w:val="32"/>
          <w:szCs w:val="32"/>
        </w:rPr>
        <w:t>）</w:t>
      </w:r>
      <w:r>
        <w:rPr>
          <w:rFonts w:ascii="仿宋_GB2312" w:hAnsi="宋体" w:eastAsia="仿宋_GB2312" w:cs="黑体"/>
          <w:sz w:val="32"/>
          <w:szCs w:val="32"/>
        </w:rPr>
        <w:t>每层楼面层层高</w:t>
      </w:r>
      <w:r>
        <w:rPr>
          <w:rFonts w:ascii="仿宋_GB2312" w:hAnsi="宋体" w:eastAsia="仿宋_GB2312" w:cs="黑体"/>
          <w:i/>
          <w:iCs/>
          <w:sz w:val="32"/>
          <w:szCs w:val="32"/>
        </w:rPr>
        <w:t>h</w:t>
      </w:r>
      <w:r>
        <w:rPr>
          <w:rFonts w:ascii="仿宋_GB2312" w:hAnsi="宋体" w:eastAsia="仿宋_GB2312" w:cs="黑体"/>
          <w:sz w:val="32"/>
          <w:szCs w:val="32"/>
          <w:vertAlign w:val="subscript"/>
        </w:rPr>
        <w:t>1</w:t>
      </w:r>
      <w:r>
        <w:rPr>
          <w:rFonts w:ascii="仿宋_GB2312" w:hAnsi="宋体" w:eastAsia="仿宋_GB2312" w:cs="黑体"/>
          <w:sz w:val="32"/>
          <w:szCs w:val="32"/>
        </w:rPr>
        <w:t>和</w:t>
      </w:r>
      <w:r>
        <w:rPr>
          <w:rFonts w:ascii="仿宋_GB2312" w:hAnsi="宋体" w:eastAsia="仿宋_GB2312" w:cs="黑体"/>
          <w:i/>
          <w:iCs/>
          <w:sz w:val="32"/>
          <w:szCs w:val="32"/>
        </w:rPr>
        <w:t>h</w:t>
      </w:r>
      <w:r>
        <w:rPr>
          <w:rFonts w:ascii="仿宋_GB2312" w:hAnsi="宋体" w:eastAsia="仿宋_GB2312" w:cs="黑体"/>
          <w:sz w:val="32"/>
          <w:szCs w:val="32"/>
          <w:vertAlign w:val="subscript"/>
        </w:rPr>
        <w:t>2</w:t>
      </w:r>
      <w:r>
        <w:rPr>
          <w:rFonts w:ascii="仿宋_GB2312" w:hAnsi="宋体" w:eastAsia="仿宋_GB2312" w:cs="黑体"/>
          <w:sz w:val="32"/>
          <w:szCs w:val="32"/>
        </w:rPr>
        <w:t>，均要求在300mm±10mm范围内,楼面层净高</w:t>
      </w:r>
      <w:r>
        <w:rPr>
          <w:rFonts w:ascii="仿宋_GB2312" w:hAnsi="宋体" w:eastAsia="仿宋_GB2312" w:cs="黑体"/>
          <w:i/>
          <w:iCs/>
          <w:sz w:val="32"/>
          <w:szCs w:val="32"/>
        </w:rPr>
        <w:t>h</w:t>
      </w:r>
      <w:r>
        <w:rPr>
          <w:rFonts w:ascii="仿宋_GB2312" w:hAnsi="宋体" w:eastAsia="仿宋_GB2312" w:cs="黑体"/>
          <w:sz w:val="32"/>
          <w:szCs w:val="32"/>
          <w:vertAlign w:val="subscript"/>
        </w:rPr>
        <w:t>0</w:t>
      </w:r>
      <w:r>
        <w:rPr>
          <w:rFonts w:ascii="仿宋_GB2312" w:hAnsi="宋体" w:eastAsia="仿宋_GB2312" w:cs="黑体"/>
          <w:sz w:val="32"/>
          <w:szCs w:val="32"/>
        </w:rPr>
        <w:t>≥220mm</w:t>
      </w:r>
      <w:r>
        <w:rPr>
          <w:rFonts w:hint="eastAsia" w:ascii="仿宋_GB2312" w:hAnsi="宋体" w:eastAsia="仿宋_GB2312" w:cs="黑体"/>
          <w:sz w:val="32"/>
          <w:szCs w:val="32"/>
        </w:rPr>
        <w:t>；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（</w:t>
      </w:r>
      <w:r>
        <w:rPr>
          <w:rFonts w:ascii="仿宋_GB2312" w:hAnsi="宋体" w:eastAsia="仿宋_GB2312" w:cs="黑体"/>
          <w:sz w:val="32"/>
          <w:szCs w:val="32"/>
        </w:rPr>
        <w:t>4</w:t>
      </w:r>
      <w:r>
        <w:rPr>
          <w:rFonts w:hint="eastAsia" w:ascii="仿宋_GB2312" w:hAnsi="宋体" w:eastAsia="仿宋_GB2312" w:cs="黑体"/>
          <w:sz w:val="32"/>
          <w:szCs w:val="32"/>
        </w:rPr>
        <w:t>）建议模型的尺寸（边长或直径）与配重尺寸相协调。</w:t>
      </w:r>
    </w:p>
    <w:p>
      <w:pPr>
        <w:jc w:val="center"/>
      </w:pPr>
      <w:r>
        <w:drawing>
          <wp:inline distT="0" distB="0" distL="0" distR="0">
            <wp:extent cx="3048000" cy="337693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8784" cy="34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0" w:leftChars="0" w:firstLine="0" w:firstLineChars="0"/>
        <w:jc w:val="center"/>
        <w:rPr>
          <w:rFonts w:eastAsia="微软雅黑"/>
        </w:rPr>
      </w:pPr>
      <w:r>
        <w:rPr>
          <w:rFonts w:hint="eastAsia" w:hAnsi="微软雅黑" w:eastAsia="微软雅黑"/>
        </w:rPr>
        <w:t>图</w:t>
      </w:r>
      <w:r>
        <w:rPr>
          <w:rFonts w:eastAsia="微软雅黑"/>
        </w:rPr>
        <w:t xml:space="preserve">1 </w:t>
      </w:r>
      <w:r>
        <w:rPr>
          <w:rFonts w:hint="eastAsia" w:hAnsi="微软雅黑" w:eastAsia="微软雅黑"/>
        </w:rPr>
        <w:t>模型要求示意图</w:t>
      </w:r>
    </w:p>
    <w:p>
      <w:pPr>
        <w:pStyle w:val="9"/>
        <w:spacing w:line="560" w:lineRule="exact"/>
        <w:ind w:left="0" w:leftChars="0" w:firstLine="0" w:firstLineChars="0"/>
        <w:jc w:val="left"/>
        <w:outlineLvl w:val="0"/>
        <w:rPr>
          <w:rFonts w:ascii="仿宋_GB2312" w:hAnsi="宋体" w:eastAsia="仿宋_GB2312" w:cs="黑体"/>
          <w:b/>
          <w:sz w:val="32"/>
          <w:szCs w:val="32"/>
        </w:rPr>
      </w:pPr>
      <w:r>
        <w:rPr>
          <w:rFonts w:hint="eastAsia" w:ascii="仿宋_GB2312" w:hAnsi="宋体" w:eastAsia="仿宋_GB2312" w:cs="黑体"/>
          <w:b/>
          <w:sz w:val="32"/>
          <w:szCs w:val="32"/>
        </w:rPr>
        <w:t>四、模型及加载质量要求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对模型自重</w:t>
      </w:r>
      <w:r>
        <w:rPr>
          <w:rFonts w:ascii="仿宋_GB2312" w:hAnsi="宋体" w:eastAsia="仿宋_GB2312" w:cs="黑体"/>
          <w:i/>
          <w:sz w:val="32"/>
          <w:szCs w:val="32"/>
        </w:rPr>
        <w:t>m</w:t>
      </w:r>
      <w:r>
        <w:rPr>
          <w:rFonts w:hint="eastAsia" w:ascii="仿宋_GB2312" w:hAnsi="宋体" w:eastAsia="仿宋_GB2312" w:cs="黑体"/>
          <w:sz w:val="32"/>
          <w:szCs w:val="32"/>
        </w:rPr>
        <w:t>无强制要求（建议不宜超过</w:t>
      </w:r>
      <w:r>
        <w:rPr>
          <w:rFonts w:ascii="仿宋_GB2312" w:hAnsi="宋体" w:eastAsia="仿宋_GB2312" w:cs="黑体"/>
          <w:sz w:val="32"/>
          <w:szCs w:val="32"/>
        </w:rPr>
        <w:t>250g</w:t>
      </w:r>
      <w:r>
        <w:rPr>
          <w:rFonts w:hint="eastAsia" w:ascii="仿宋_GB2312" w:hAnsi="宋体" w:eastAsia="仿宋_GB2312" w:cs="黑体"/>
          <w:sz w:val="32"/>
          <w:szCs w:val="32"/>
        </w:rPr>
        <w:t>）。顶层加载质量</w:t>
      </w:r>
      <w:r>
        <w:rPr>
          <w:rFonts w:ascii="仿宋_GB2312" w:hAnsi="宋体" w:eastAsia="仿宋_GB2312" w:cs="黑体"/>
          <w:sz w:val="32"/>
          <w:szCs w:val="32"/>
        </w:rPr>
        <w:t>M</w:t>
      </w:r>
      <w:r>
        <w:rPr>
          <w:rFonts w:ascii="仿宋_GB2312" w:hAnsi="宋体" w:eastAsia="仿宋_GB2312" w:cs="黑体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 w:cs="黑体"/>
          <w:sz w:val="32"/>
          <w:szCs w:val="32"/>
        </w:rPr>
        <w:t>（不含垫块木板）不得超过150Kg。二楼面加载</w:t>
      </w:r>
      <w:r>
        <w:rPr>
          <w:rFonts w:ascii="仿宋_GB2312" w:hAnsi="宋体" w:eastAsia="仿宋_GB2312" w:cs="黑体"/>
          <w:sz w:val="32"/>
          <w:szCs w:val="32"/>
        </w:rPr>
        <w:t>M</w:t>
      </w:r>
      <w:r>
        <w:rPr>
          <w:rFonts w:ascii="仿宋_GB2312" w:hAnsi="宋体" w:eastAsia="仿宋_GB2312" w:cs="黑体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 w:cs="黑体"/>
          <w:sz w:val="32"/>
          <w:szCs w:val="32"/>
        </w:rPr>
        <w:t>只采用小铁块，</w:t>
      </w:r>
      <w:r>
        <w:rPr>
          <w:rFonts w:ascii="仿宋_GB2312" w:hAnsi="宋体" w:eastAsia="仿宋_GB2312" w:cs="黑体"/>
          <w:sz w:val="32"/>
          <w:szCs w:val="32"/>
        </w:rPr>
        <w:t>M</w:t>
      </w:r>
      <w:r>
        <w:rPr>
          <w:rFonts w:ascii="仿宋_GB2312" w:hAnsi="宋体" w:eastAsia="仿宋_GB2312" w:cs="黑体"/>
          <w:sz w:val="32"/>
          <w:szCs w:val="32"/>
          <w:vertAlign w:val="subscript"/>
        </w:rPr>
        <w:t>2</w:t>
      </w:r>
      <w:r>
        <w:rPr>
          <w:rFonts w:hint="eastAsia" w:ascii="仿宋_GB2312" w:hAnsi="Symbol" w:eastAsia="仿宋_GB2312" w:cs="黑体"/>
          <w:sz w:val="32"/>
          <w:szCs w:val="32"/>
        </w:rPr>
        <w:t>=4</w:t>
      </w:r>
      <w:r>
        <w:rPr>
          <w:rFonts w:ascii="仿宋_GB2312" w:hAnsi="宋体" w:eastAsia="仿宋_GB2312" w:cs="黑体"/>
          <w:sz w:val="32"/>
          <w:szCs w:val="32"/>
        </w:rPr>
        <w:t>kg</w:t>
      </w:r>
      <w:r>
        <w:rPr>
          <w:rFonts w:hint="eastAsia" w:ascii="仿宋_GB2312" w:hAnsi="宋体" w:eastAsia="仿宋_GB2312" w:cs="黑体"/>
          <w:sz w:val="32"/>
          <w:szCs w:val="32"/>
        </w:rPr>
        <w:t>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现场提供大、小两种规格铁块。大铁块重量为</w:t>
      </w:r>
      <w:r>
        <w:rPr>
          <w:rFonts w:ascii="仿宋_GB2312" w:hAnsi="宋体" w:eastAsia="仿宋_GB2312" w:cs="黑体"/>
          <w:sz w:val="32"/>
          <w:szCs w:val="32"/>
        </w:rPr>
        <w:t>10kg</w:t>
      </w:r>
      <w:r>
        <w:rPr>
          <w:rFonts w:hint="eastAsia" w:ascii="仿宋_GB2312" w:hAnsi="宋体" w:eastAsia="仿宋_GB2312" w:cs="黑体"/>
          <w:sz w:val="32"/>
          <w:szCs w:val="32"/>
        </w:rPr>
        <w:t>和</w:t>
      </w:r>
      <w:r>
        <w:rPr>
          <w:rFonts w:ascii="仿宋_GB2312" w:hAnsi="宋体" w:eastAsia="仿宋_GB2312" w:cs="黑体"/>
          <w:sz w:val="32"/>
          <w:szCs w:val="32"/>
        </w:rPr>
        <w:t>15kg</w:t>
      </w:r>
      <w:r>
        <w:rPr>
          <w:rFonts w:hint="eastAsia" w:ascii="仿宋_GB2312" w:hAnsi="宋体" w:eastAsia="仿宋_GB2312" w:cs="黑体"/>
          <w:sz w:val="32"/>
          <w:szCs w:val="32"/>
        </w:rPr>
        <w:t>；小铁块重量为</w:t>
      </w:r>
      <w:r>
        <w:rPr>
          <w:rFonts w:ascii="仿宋_GB2312" w:hAnsi="宋体" w:eastAsia="仿宋_GB2312" w:cs="黑体"/>
          <w:sz w:val="32"/>
          <w:szCs w:val="32"/>
        </w:rPr>
        <w:t>1kg</w:t>
      </w:r>
      <w:r>
        <w:rPr>
          <w:rFonts w:hint="eastAsia" w:ascii="仿宋_GB2312" w:hAnsi="宋体" w:eastAsia="仿宋_GB2312" w:cs="黑体"/>
          <w:sz w:val="32"/>
          <w:szCs w:val="32"/>
        </w:rPr>
        <w:t>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</w:p>
    <w:p>
      <w:pPr>
        <w:pStyle w:val="9"/>
        <w:spacing w:line="560" w:lineRule="exact"/>
        <w:ind w:left="0" w:leftChars="0" w:firstLine="0" w:firstLineChars="0"/>
        <w:jc w:val="left"/>
        <w:outlineLvl w:val="0"/>
        <w:rPr>
          <w:rFonts w:ascii="仿宋_GB2312" w:hAnsi="宋体" w:eastAsia="仿宋_GB2312" w:cs="黑体"/>
          <w:b/>
          <w:sz w:val="32"/>
          <w:szCs w:val="32"/>
        </w:rPr>
      </w:pPr>
      <w:r>
        <w:rPr>
          <w:rFonts w:hint="eastAsia" w:ascii="仿宋_GB2312" w:hAnsi="宋体" w:eastAsia="仿宋_GB2312" w:cs="黑体"/>
          <w:b/>
          <w:sz w:val="32"/>
          <w:szCs w:val="32"/>
        </w:rPr>
        <w:t>五、模型加载制度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顶层楼面加载铁块</w:t>
      </w:r>
      <w:r>
        <w:rPr>
          <w:rFonts w:ascii="仿宋_GB2312" w:hAnsi="宋体" w:eastAsia="仿宋_GB2312" w:cs="黑体"/>
          <w:sz w:val="32"/>
          <w:szCs w:val="32"/>
        </w:rPr>
        <w:t>M</w:t>
      </w:r>
      <w:r>
        <w:rPr>
          <w:rFonts w:ascii="仿宋_GB2312" w:hAnsi="宋体" w:eastAsia="仿宋_GB2312" w:cs="黑体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 w:cs="黑体"/>
          <w:sz w:val="32"/>
          <w:szCs w:val="32"/>
        </w:rPr>
        <w:t>可放置在组委会现场提供的木板上。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比赛按如下规则进行加载</w:t>
      </w:r>
    </w:p>
    <w:p>
      <w:pPr>
        <w:pStyle w:val="9"/>
        <w:spacing w:line="560" w:lineRule="exact"/>
        <w:ind w:left="0" w:leftChars="0" w:firstLine="0" w:firstLineChars="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（1）每队最多有6次加载机会，即6级加载，每级加载都应保留二层楼面加载质量</w:t>
      </w:r>
      <w:r>
        <w:rPr>
          <w:rFonts w:ascii="仿宋_GB2312" w:hAnsi="宋体" w:eastAsia="仿宋_GB2312" w:cs="黑体"/>
          <w:sz w:val="32"/>
          <w:szCs w:val="32"/>
        </w:rPr>
        <w:t>M</w:t>
      </w:r>
      <w:r>
        <w:rPr>
          <w:rFonts w:ascii="仿宋_GB2312" w:hAnsi="宋体" w:eastAsia="仿宋_GB2312" w:cs="黑体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 w:cs="黑体"/>
          <w:sz w:val="32"/>
          <w:szCs w:val="32"/>
        </w:rPr>
        <w:t>；</w:t>
      </w:r>
    </w:p>
    <w:p>
      <w:pPr>
        <w:pStyle w:val="9"/>
        <w:spacing w:line="560" w:lineRule="exact"/>
        <w:ind w:left="0" w:leftChars="0" w:firstLine="0" w:firstLineChars="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（2）第一级加载，</w:t>
      </w:r>
      <w:r>
        <w:rPr>
          <w:rFonts w:ascii="仿宋_GB2312" w:hAnsi="宋体" w:eastAsia="仿宋_GB2312" w:cs="黑体"/>
          <w:sz w:val="32"/>
          <w:szCs w:val="32"/>
        </w:rPr>
        <w:t>M</w:t>
      </w:r>
      <w:r>
        <w:rPr>
          <w:rFonts w:ascii="仿宋_GB2312" w:hAnsi="宋体" w:eastAsia="仿宋_GB2312" w:cs="黑体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 w:cs="黑体"/>
          <w:sz w:val="32"/>
          <w:szCs w:val="32"/>
        </w:rPr>
        <w:t>取10Kg或15Kg，其它级可在加载过程中自主确定；</w:t>
      </w:r>
    </w:p>
    <w:p>
      <w:pPr>
        <w:pStyle w:val="9"/>
        <w:spacing w:line="560" w:lineRule="exact"/>
        <w:ind w:left="0" w:leftChars="0" w:firstLine="0" w:firstLineChars="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（3）在每级加载过程中，参赛队员确定加载完毕然后举手示意。工作人员开始计时，加载成功后登记本级加载质量。</w:t>
      </w:r>
    </w:p>
    <w:p>
      <w:pPr>
        <w:pStyle w:val="9"/>
        <w:spacing w:line="560" w:lineRule="exact"/>
        <w:ind w:left="0" w:leftChars="0" w:firstLine="0" w:firstLineChars="0"/>
        <w:rPr>
          <w:rFonts w:ascii="仿宋_GB2312" w:hAnsi="宋体" w:eastAsia="仿宋_GB2312" w:cs="黑体"/>
          <w:sz w:val="32"/>
          <w:szCs w:val="32"/>
        </w:rPr>
      </w:pPr>
    </w:p>
    <w:p>
      <w:pPr>
        <w:pStyle w:val="9"/>
        <w:spacing w:line="560" w:lineRule="exact"/>
        <w:ind w:left="0" w:leftChars="0" w:firstLine="0" w:firstLineChars="0"/>
        <w:jc w:val="left"/>
        <w:outlineLvl w:val="0"/>
        <w:rPr>
          <w:rFonts w:ascii="仿宋_GB2312" w:hAnsi="宋体" w:eastAsia="仿宋_GB2312" w:cs="黑体"/>
          <w:b/>
          <w:sz w:val="32"/>
          <w:szCs w:val="32"/>
        </w:rPr>
      </w:pPr>
      <w:r>
        <w:rPr>
          <w:rFonts w:hint="eastAsia" w:ascii="仿宋_GB2312" w:hAnsi="宋体" w:eastAsia="仿宋_GB2312" w:cs="黑体"/>
          <w:b/>
          <w:sz w:val="32"/>
          <w:szCs w:val="32"/>
        </w:rPr>
        <w:t>六、模型失效评判准则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比赛开始前，组委会将检查各队伍的作品，如发现违规现象，将取消参赛资格。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在模型进行加载时，出现下列任一情形则判定为模型失效，不能继续加载。同时，将上一个加载级别视为该模型实际所能通过的最高加载级别，并作为模型效率比计算的依据。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（</w:t>
      </w:r>
      <w:r>
        <w:rPr>
          <w:rFonts w:ascii="仿宋_GB2312" w:hAnsi="宋体" w:eastAsia="仿宋_GB2312" w:cs="黑体"/>
          <w:sz w:val="32"/>
          <w:szCs w:val="32"/>
        </w:rPr>
        <w:t>1</w:t>
      </w:r>
      <w:r>
        <w:rPr>
          <w:rFonts w:hint="eastAsia" w:ascii="仿宋_GB2312" w:hAnsi="宋体" w:eastAsia="仿宋_GB2312" w:cs="黑体"/>
          <w:sz w:val="32"/>
          <w:szCs w:val="32"/>
        </w:rPr>
        <w:t>）结构出现断裂、倒塌等不能再承受载荷为止或选手自己停止加载，导致作品坍塌或折断的最后一块铁块不计入，铁块在模型上静止10秒才记为成功承重；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（</w:t>
      </w:r>
      <w:r>
        <w:rPr>
          <w:rFonts w:ascii="仿宋_GB2312" w:hAnsi="宋体" w:eastAsia="仿宋_GB2312" w:cs="黑体"/>
          <w:sz w:val="32"/>
          <w:szCs w:val="32"/>
        </w:rPr>
        <w:t>2</w:t>
      </w:r>
      <w:r>
        <w:rPr>
          <w:rFonts w:hint="eastAsia" w:ascii="仿宋_GB2312" w:hAnsi="宋体" w:eastAsia="仿宋_GB2312" w:cs="黑体"/>
          <w:sz w:val="32"/>
          <w:szCs w:val="32"/>
        </w:rPr>
        <w:t>）在整个加载过程中出现铁块落地现象。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加载之后，会对各小组的模型进行一定的检测，如发现主体材料除A4纸外还有其他材料，将取消参赛资格；如发现有胶水注入模型空隙或改变纸张自身力学特性的参赛小组，也将取消该小组的参赛资格。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9"/>
        <w:spacing w:line="560" w:lineRule="exact"/>
        <w:ind w:left="0" w:leftChars="0" w:firstLine="0" w:firstLineChars="0"/>
        <w:jc w:val="left"/>
        <w:rPr>
          <w:rFonts w:ascii="仿宋_GB2312" w:hAnsi="宋体" w:eastAsia="仿宋_GB2312" w:cs="黑体"/>
          <w:b/>
          <w:sz w:val="32"/>
          <w:szCs w:val="32"/>
        </w:rPr>
      </w:pPr>
      <w:r>
        <w:rPr>
          <w:rFonts w:hint="eastAsia" w:ascii="仿宋_GB2312" w:hAnsi="宋体" w:eastAsia="仿宋_GB2312" w:cs="黑体"/>
          <w:b/>
          <w:sz w:val="32"/>
          <w:szCs w:val="32"/>
        </w:rPr>
        <w:t>七、</w:t>
      </w:r>
      <w:r>
        <w:rPr>
          <w:rFonts w:ascii="仿宋_GB2312" w:hAnsi="宋体" w:eastAsia="仿宋_GB2312" w:cs="黑体"/>
          <w:b/>
          <w:sz w:val="32"/>
          <w:szCs w:val="32"/>
        </w:rPr>
        <w:t>模型</w:t>
      </w:r>
      <w:r>
        <w:rPr>
          <w:rFonts w:hint="eastAsia" w:ascii="仿宋_GB2312" w:hAnsi="宋体" w:eastAsia="仿宋_GB2312" w:cs="黑体"/>
          <w:b/>
          <w:sz w:val="32"/>
          <w:szCs w:val="32"/>
        </w:rPr>
        <w:t>制作、</w:t>
      </w:r>
      <w:r>
        <w:rPr>
          <w:rFonts w:ascii="仿宋_GB2312" w:hAnsi="宋体" w:eastAsia="仿宋_GB2312" w:cs="黑体"/>
          <w:b/>
          <w:sz w:val="32"/>
          <w:szCs w:val="32"/>
        </w:rPr>
        <w:t>现场安装、加载及测试步骤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</w:t>
      </w:r>
      <w:r>
        <w:rPr>
          <w:rFonts w:ascii="仿宋_GB2312" w:hAnsi="宋体" w:eastAsia="仿宋_GB2312"/>
          <w:sz w:val="32"/>
          <w:szCs w:val="32"/>
        </w:rPr>
        <w:t>模型制作完毕后，由工作人员进行模型尺寸违规检查</w:t>
      </w:r>
      <w:r>
        <w:rPr>
          <w:rFonts w:hint="eastAsia" w:ascii="仿宋_GB2312" w:hAnsi="宋体" w:eastAsia="仿宋_GB2312"/>
          <w:sz w:val="32"/>
          <w:szCs w:val="32"/>
        </w:rPr>
        <w:t>，并对</w:t>
      </w:r>
      <w:r>
        <w:rPr>
          <w:rFonts w:ascii="仿宋_GB2312" w:hAnsi="宋体" w:eastAsia="仿宋_GB2312"/>
          <w:sz w:val="32"/>
          <w:szCs w:val="32"/>
        </w:rPr>
        <w:t>模型称重：将制作好的模型称重得到</w:t>
      </w:r>
      <w:r>
        <w:rPr>
          <w:rFonts w:hint="eastAsia" w:ascii="仿宋_GB2312" w:hAnsi="宋体" w:eastAsia="仿宋_GB2312"/>
          <w:i/>
          <w:sz w:val="32"/>
          <w:szCs w:val="32"/>
        </w:rPr>
        <w:t>m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精度0.1g）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</w:t>
      </w:r>
      <w:r>
        <w:rPr>
          <w:rFonts w:ascii="仿宋_GB2312" w:hAnsi="宋体" w:eastAsia="仿宋_GB2312"/>
          <w:sz w:val="32"/>
          <w:szCs w:val="32"/>
        </w:rPr>
        <w:t>得到入场指令后，迅速将模型及底板运进场内，</w:t>
      </w:r>
      <w:r>
        <w:rPr>
          <w:rFonts w:hint="eastAsia" w:ascii="仿宋_GB2312" w:hAnsi="宋体" w:eastAsia="仿宋_GB2312"/>
          <w:sz w:val="32"/>
          <w:szCs w:val="32"/>
        </w:rPr>
        <w:t>放置</w:t>
      </w:r>
      <w:r>
        <w:rPr>
          <w:rFonts w:ascii="仿宋_GB2312" w:hAnsi="宋体" w:eastAsia="仿宋_GB2312"/>
          <w:sz w:val="32"/>
          <w:szCs w:val="32"/>
        </w:rPr>
        <w:t>在</w:t>
      </w:r>
      <w:r>
        <w:rPr>
          <w:rFonts w:hint="eastAsia" w:ascii="仿宋_GB2312" w:hAnsi="宋体" w:eastAsia="仿宋_GB2312"/>
          <w:sz w:val="32"/>
          <w:szCs w:val="32"/>
        </w:rPr>
        <w:t>承载台</w:t>
      </w:r>
      <w:r>
        <w:rPr>
          <w:rFonts w:ascii="仿宋_GB2312" w:hAnsi="宋体" w:eastAsia="仿宋_GB2312"/>
          <w:sz w:val="32"/>
          <w:szCs w:val="32"/>
        </w:rPr>
        <w:t>上，准备进行加载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3、决赛时，</w:t>
      </w:r>
      <w:r>
        <w:rPr>
          <w:rFonts w:ascii="仿宋_GB2312" w:hAnsi="宋体" w:eastAsia="仿宋_GB2312"/>
          <w:sz w:val="32"/>
          <w:szCs w:val="32"/>
        </w:rPr>
        <w:t>由一名队员进行模型陈述（1分钟）及回答评委问题（</w:t>
      </w: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分钟）</w:t>
      </w:r>
      <w:r>
        <w:rPr>
          <w:rFonts w:hint="eastAsia" w:ascii="仿宋_GB2312" w:hAnsi="宋体" w:eastAsia="仿宋_GB2312"/>
          <w:sz w:val="32"/>
          <w:szCs w:val="32"/>
        </w:rPr>
        <w:t>；同时由</w:t>
      </w:r>
      <w:r>
        <w:rPr>
          <w:rFonts w:ascii="仿宋_GB2312" w:hAnsi="宋体" w:eastAsia="仿宋_GB2312"/>
          <w:sz w:val="32"/>
          <w:szCs w:val="32"/>
        </w:rPr>
        <w:t>评委对造型及工艺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ascii="仿宋_GB2312" w:hAnsi="宋体" w:eastAsia="仿宋_GB2312"/>
          <w:sz w:val="32"/>
          <w:szCs w:val="32"/>
        </w:rPr>
        <w:t>打分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4、进行</w:t>
      </w:r>
      <w:r>
        <w:rPr>
          <w:rFonts w:ascii="仿宋_GB2312" w:hAnsi="宋体" w:eastAsia="仿宋_GB2312"/>
          <w:sz w:val="32"/>
          <w:szCs w:val="32"/>
        </w:rPr>
        <w:t>加载，每级加载完成后依据</w:t>
      </w:r>
      <w:r>
        <w:rPr>
          <w:rFonts w:hint="eastAsia" w:ascii="仿宋_GB2312" w:hAnsi="宋体" w:eastAsia="仿宋_GB2312"/>
          <w:sz w:val="32"/>
          <w:szCs w:val="32"/>
        </w:rPr>
        <w:t>模型失效的评判准则</w:t>
      </w:r>
      <w:r>
        <w:rPr>
          <w:rFonts w:ascii="仿宋_GB2312" w:hAnsi="宋体" w:eastAsia="仿宋_GB2312"/>
          <w:sz w:val="32"/>
          <w:szCs w:val="32"/>
        </w:rPr>
        <w:t>评价模型是否失效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</w:t>
      </w:r>
      <w:r>
        <w:rPr>
          <w:rFonts w:ascii="仿宋_GB2312" w:hAnsi="宋体" w:eastAsia="仿宋_GB2312"/>
          <w:sz w:val="32"/>
          <w:szCs w:val="32"/>
        </w:rPr>
        <w:t>以上模型安装</w:t>
      </w:r>
      <w:r>
        <w:rPr>
          <w:rFonts w:hint="eastAsia" w:ascii="仿宋_GB2312" w:hAnsi="宋体" w:eastAsia="仿宋_GB2312"/>
          <w:sz w:val="32"/>
          <w:szCs w:val="32"/>
        </w:rPr>
        <w:t>、加载</w:t>
      </w:r>
      <w:r>
        <w:rPr>
          <w:rFonts w:ascii="仿宋_GB2312" w:hAnsi="宋体" w:eastAsia="仿宋_GB2312"/>
          <w:sz w:val="32"/>
          <w:szCs w:val="32"/>
        </w:rPr>
        <w:t>过程由各队自行完成，</w:t>
      </w:r>
      <w:r>
        <w:rPr>
          <w:rFonts w:hint="eastAsia" w:ascii="仿宋_GB2312" w:hAnsi="宋体" w:eastAsia="仿宋_GB2312"/>
          <w:sz w:val="32"/>
          <w:szCs w:val="32"/>
        </w:rPr>
        <w:t>工作</w:t>
      </w:r>
      <w:r>
        <w:rPr>
          <w:rFonts w:ascii="仿宋_GB2312" w:hAnsi="宋体" w:eastAsia="仿宋_GB2312"/>
          <w:sz w:val="32"/>
          <w:szCs w:val="32"/>
        </w:rPr>
        <w:t>人员负责监督和记录</w:t>
      </w:r>
      <w:r>
        <w:rPr>
          <w:rFonts w:hint="eastAsia" w:ascii="仿宋_GB2312" w:hAnsi="宋体" w:eastAsia="仿宋_GB2312"/>
          <w:sz w:val="32"/>
          <w:szCs w:val="32"/>
        </w:rPr>
        <w:t>；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</w:t>
      </w:r>
      <w:r>
        <w:rPr>
          <w:rFonts w:ascii="仿宋_GB2312" w:hAnsi="宋体" w:eastAsia="仿宋_GB2312"/>
          <w:sz w:val="32"/>
          <w:szCs w:val="32"/>
        </w:rPr>
        <w:t>加载结束后，清理</w:t>
      </w:r>
      <w:r>
        <w:rPr>
          <w:rFonts w:hint="eastAsia" w:ascii="仿宋_GB2312" w:hAnsi="宋体" w:eastAsia="仿宋_GB2312"/>
          <w:sz w:val="32"/>
          <w:szCs w:val="32"/>
        </w:rPr>
        <w:t>加载现场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八、</w:t>
      </w:r>
      <w:r>
        <w:rPr>
          <w:rFonts w:ascii="仿宋_GB2312" w:hAnsi="宋体" w:eastAsia="仿宋_GB2312"/>
          <w:b/>
          <w:sz w:val="32"/>
          <w:szCs w:val="32"/>
        </w:rPr>
        <w:t>评分规则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本次比赛总分100分，参赛模型得分高者取胜。</w:t>
      </w:r>
      <w:r>
        <w:rPr>
          <w:rFonts w:hint="eastAsia" w:ascii="仿宋_GB2312" w:hAnsi="宋体" w:eastAsia="仿宋_GB2312"/>
          <w:sz w:val="32"/>
          <w:szCs w:val="32"/>
        </w:rPr>
        <w:t>初赛只由</w:t>
      </w:r>
      <w:r>
        <w:rPr>
          <w:rFonts w:ascii="仿宋_GB2312" w:hAnsi="宋体" w:eastAsia="仿宋_GB2312"/>
          <w:sz w:val="32"/>
          <w:szCs w:val="32"/>
        </w:rPr>
        <w:t>模型</w:t>
      </w:r>
      <w:r>
        <w:rPr>
          <w:rFonts w:hint="eastAsia" w:ascii="仿宋_GB2312" w:hAnsi="宋体" w:eastAsia="仿宋_GB2312"/>
          <w:sz w:val="32"/>
          <w:szCs w:val="32"/>
        </w:rPr>
        <w:t>性能得</w:t>
      </w:r>
      <w:r>
        <w:rPr>
          <w:rFonts w:ascii="仿宋_GB2312" w:hAnsi="宋体" w:eastAsia="仿宋_GB2312"/>
          <w:sz w:val="32"/>
          <w:szCs w:val="32"/>
        </w:rPr>
        <w:t>分</w:t>
      </w:r>
      <w:r>
        <w:rPr>
          <w:rFonts w:hint="eastAsia" w:ascii="仿宋_GB2312" w:hAnsi="宋体" w:eastAsia="仿宋_GB2312"/>
          <w:sz w:val="32"/>
          <w:szCs w:val="32"/>
        </w:rPr>
        <w:t>，满分100分，不考虑造型分和现场答辩得分，决定决赛名单。决赛成绩为</w:t>
      </w:r>
      <w:r>
        <w:rPr>
          <w:rFonts w:ascii="仿宋_GB2312" w:hAnsi="宋体" w:eastAsia="仿宋_GB2312"/>
          <w:sz w:val="32"/>
          <w:szCs w:val="32"/>
        </w:rPr>
        <w:t>造型分</w:t>
      </w:r>
      <w:r>
        <w:rPr>
          <w:rFonts w:hint="eastAsia" w:ascii="仿宋_GB2312" w:hAnsi="宋体" w:eastAsia="仿宋_GB2312"/>
          <w:sz w:val="32"/>
          <w:szCs w:val="32"/>
        </w:rPr>
        <w:t>+现场答辨得分+</w:t>
      </w:r>
      <w:r>
        <w:rPr>
          <w:rFonts w:ascii="仿宋_GB2312" w:hAnsi="宋体" w:eastAsia="仿宋_GB2312"/>
          <w:sz w:val="32"/>
          <w:szCs w:val="32"/>
        </w:rPr>
        <w:t>模型</w:t>
      </w:r>
      <w:r>
        <w:rPr>
          <w:rFonts w:hint="eastAsia" w:ascii="仿宋_GB2312" w:hAnsi="宋体" w:eastAsia="仿宋_GB2312"/>
          <w:sz w:val="32"/>
          <w:szCs w:val="32"/>
        </w:rPr>
        <w:t>性能得</w:t>
      </w:r>
      <w:r>
        <w:rPr>
          <w:rFonts w:ascii="仿宋_GB2312" w:hAnsi="宋体" w:eastAsia="仿宋_GB2312"/>
          <w:sz w:val="32"/>
          <w:szCs w:val="32"/>
        </w:rPr>
        <w:t>分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（一）造型分（10分）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（1）宏观造型（5分）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ascii="仿宋_GB2312" w:hAnsi="宋体" w:eastAsia="仿宋_GB2312" w:cs="黑体"/>
          <w:sz w:val="32"/>
          <w:szCs w:val="32"/>
        </w:rPr>
        <w:t>按构思新颖、外形美观、比例协调三原则打分。分优、良、差三等，分别得5、3、1分。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（2）微观</w:t>
      </w:r>
      <w:r>
        <w:rPr>
          <w:rFonts w:hint="eastAsia" w:ascii="仿宋_GB2312" w:hAnsi="宋体" w:eastAsia="仿宋_GB2312"/>
          <w:sz w:val="32"/>
          <w:szCs w:val="32"/>
        </w:rPr>
        <w:t>工艺</w:t>
      </w:r>
      <w:r>
        <w:rPr>
          <w:rFonts w:ascii="仿宋_GB2312" w:hAnsi="宋体" w:eastAsia="仿宋_GB2312"/>
          <w:sz w:val="32"/>
          <w:szCs w:val="32"/>
        </w:rPr>
        <w:t>（5分）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ascii="仿宋_GB2312" w:hAnsi="宋体" w:eastAsia="仿宋_GB2312" w:cs="黑体"/>
          <w:sz w:val="32"/>
          <w:szCs w:val="32"/>
        </w:rPr>
        <w:t>构件和节点剪裁合理，制作美观，连接可靠。同样分优、良、差三等，分别得5、3、1分。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（二）</w:t>
      </w:r>
      <w:r>
        <w:rPr>
          <w:rFonts w:hint="eastAsia" w:ascii="仿宋_GB2312" w:hAnsi="宋体" w:eastAsia="仿宋_GB2312"/>
          <w:sz w:val="32"/>
          <w:szCs w:val="32"/>
        </w:rPr>
        <w:t>现场答辩得分</w:t>
      </w:r>
      <w:r>
        <w:rPr>
          <w:rFonts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5</w:t>
      </w:r>
      <w:r>
        <w:rPr>
          <w:rFonts w:ascii="仿宋_GB2312" w:hAnsi="宋体" w:eastAsia="仿宋_GB2312"/>
          <w:sz w:val="32"/>
          <w:szCs w:val="32"/>
        </w:rPr>
        <w:t>分）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根据</w:t>
      </w:r>
      <w:r>
        <w:rPr>
          <w:rFonts w:ascii="仿宋_GB2312" w:hAnsi="宋体" w:eastAsia="仿宋_GB2312" w:cs="黑体"/>
          <w:sz w:val="32"/>
          <w:szCs w:val="32"/>
        </w:rPr>
        <w:t>模型陈述及答辩</w:t>
      </w:r>
      <w:r>
        <w:rPr>
          <w:rFonts w:hint="eastAsia" w:ascii="仿宋_GB2312" w:hAnsi="宋体" w:eastAsia="仿宋_GB2312" w:cs="黑体"/>
          <w:sz w:val="32"/>
          <w:szCs w:val="32"/>
        </w:rPr>
        <w:t>情况，由多名</w:t>
      </w:r>
      <w:r>
        <w:rPr>
          <w:rFonts w:ascii="仿宋_GB2312" w:hAnsi="宋体" w:eastAsia="仿宋_GB2312" w:cs="黑体"/>
          <w:sz w:val="32"/>
          <w:szCs w:val="32"/>
        </w:rPr>
        <w:t>评委</w:t>
      </w:r>
      <w:r>
        <w:rPr>
          <w:rFonts w:hint="eastAsia" w:ascii="仿宋_GB2312" w:hAnsi="宋体" w:eastAsia="仿宋_GB2312" w:cs="黑体"/>
          <w:sz w:val="32"/>
          <w:szCs w:val="32"/>
        </w:rPr>
        <w:t>打分，取其平均分。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三</w:t>
      </w:r>
      <w:r>
        <w:rPr>
          <w:rFonts w:ascii="仿宋_GB2312" w:hAnsi="宋体" w:eastAsia="仿宋_GB2312"/>
          <w:sz w:val="32"/>
          <w:szCs w:val="32"/>
        </w:rPr>
        <w:t>）模型</w:t>
      </w:r>
      <w:r>
        <w:rPr>
          <w:rFonts w:hint="eastAsia" w:ascii="仿宋_GB2312" w:hAnsi="宋体" w:eastAsia="仿宋_GB2312"/>
          <w:sz w:val="32"/>
          <w:szCs w:val="32"/>
        </w:rPr>
        <w:t>性能得</w:t>
      </w:r>
      <w:r>
        <w:rPr>
          <w:rFonts w:ascii="仿宋_GB2312" w:hAnsi="宋体" w:eastAsia="仿宋_GB2312"/>
          <w:sz w:val="32"/>
          <w:szCs w:val="32"/>
        </w:rPr>
        <w:t>分（</w:t>
      </w:r>
      <w:r>
        <w:rPr>
          <w:rFonts w:hint="eastAsia" w:ascii="仿宋_GB2312" w:hAnsi="宋体" w:eastAsia="仿宋_GB2312"/>
          <w:sz w:val="32"/>
          <w:szCs w:val="32"/>
        </w:rPr>
        <w:t>8</w:t>
      </w:r>
      <w:r>
        <w:rPr>
          <w:rFonts w:ascii="仿宋_GB2312" w:hAnsi="宋体" w:eastAsia="仿宋_GB2312"/>
          <w:sz w:val="32"/>
          <w:szCs w:val="32"/>
        </w:rPr>
        <w:t>5分）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计算方法为：</w:t>
      </w:r>
    </w:p>
    <w:p>
      <w:pPr>
        <w:pStyle w:val="9"/>
        <w:ind w:left="0" w:leftChars="0" w:firstLine="640"/>
        <w:jc w:val="left"/>
        <w:rPr>
          <w:rFonts w:ascii="仿宋_GB2312" w:hAnsi="宋体" w:eastAsia="仿宋_GB2312" w:cs="黑体"/>
          <w:sz w:val="32"/>
          <w:szCs w:val="32"/>
        </w:rPr>
      </w:pPr>
      <w:r>
        <w:rPr>
          <w:rFonts w:ascii="仿宋_GB2312" w:hAnsi="宋体" w:eastAsia="仿宋_GB2312" w:cs="黑体"/>
          <w:sz w:val="32"/>
          <w:szCs w:val="32"/>
        </w:rPr>
        <w:t>C=</w:t>
      </w:r>
      <w:r>
        <w:rPr>
          <w:rFonts w:hint="eastAsia" w:ascii="仿宋_GB2312" w:hAnsi="宋体" w:eastAsia="仿宋_GB2312" w:cs="黑体"/>
          <w:sz w:val="32"/>
          <w:szCs w:val="32"/>
        </w:rPr>
        <w:t>（</w:t>
      </w:r>
      <w:r>
        <w:rPr>
          <w:rFonts w:ascii="仿宋_GB2312" w:hAnsi="宋体" w:eastAsia="仿宋_GB2312" w:cs="黑体"/>
          <w:sz w:val="32"/>
          <w:szCs w:val="32"/>
        </w:rPr>
        <w:t>M</w:t>
      </w:r>
      <w:r>
        <w:rPr>
          <w:rFonts w:ascii="仿宋_GB2312" w:hAnsi="宋体" w:eastAsia="仿宋_GB2312" w:cs="黑体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 w:cs="黑体"/>
          <w:sz w:val="32"/>
          <w:szCs w:val="32"/>
        </w:rPr>
        <w:t>×</w:t>
      </w:r>
      <w:r>
        <w:rPr>
          <w:rFonts w:ascii="仿宋_GB2312" w:hAnsi="宋体" w:eastAsia="仿宋_GB2312" w:cs="黑体"/>
          <w:sz w:val="32"/>
          <w:szCs w:val="32"/>
        </w:rPr>
        <w:t>H+M</w:t>
      </w:r>
      <w:r>
        <w:rPr>
          <w:rFonts w:ascii="仿宋_GB2312" w:hAnsi="宋体" w:eastAsia="仿宋_GB2312" w:cs="黑体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 w:cs="黑体"/>
          <w:sz w:val="32"/>
          <w:szCs w:val="32"/>
        </w:rPr>
        <w:t>×</w:t>
      </w:r>
      <w:r>
        <w:rPr>
          <w:rFonts w:ascii="仿宋_GB2312" w:hAnsi="宋体" w:eastAsia="仿宋_GB2312" w:cs="黑体"/>
          <w:sz w:val="32"/>
          <w:szCs w:val="32"/>
        </w:rPr>
        <w:t>h</w:t>
      </w:r>
      <w:r>
        <w:rPr>
          <w:rFonts w:ascii="仿宋_GB2312" w:hAnsi="宋体" w:eastAsia="仿宋_GB2312" w:cs="黑体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 w:cs="黑体"/>
          <w:sz w:val="32"/>
          <w:szCs w:val="32"/>
        </w:rPr>
        <w:t>）</w:t>
      </w:r>
      <w:r>
        <w:rPr>
          <w:rFonts w:ascii="仿宋_GB2312" w:hAnsi="宋体" w:eastAsia="仿宋_GB2312" w:cs="黑体"/>
          <w:sz w:val="32"/>
          <w:szCs w:val="32"/>
        </w:rPr>
        <w:t>/(H</w:t>
      </w:r>
      <w:r>
        <w:rPr>
          <w:rFonts w:hint="eastAsia" w:ascii="仿宋_GB2312" w:hAnsi="宋体" w:eastAsia="仿宋_GB2312" w:cs="黑体"/>
          <w:sz w:val="32"/>
          <w:szCs w:val="32"/>
        </w:rPr>
        <w:t>×</w:t>
      </w:r>
      <w:r>
        <w:rPr>
          <w:rFonts w:ascii="仿宋_GB2312" w:hAnsi="宋体" w:eastAsia="仿宋_GB2312" w:cs="黑体"/>
          <w:sz w:val="32"/>
          <w:szCs w:val="32"/>
        </w:rPr>
        <w:t>m)</w:t>
      </w:r>
    </w:p>
    <w:p>
      <w:pPr>
        <w:pStyle w:val="9"/>
        <w:ind w:leftChars="0" w:firstLine="198" w:firstLineChars="62"/>
        <w:jc w:val="left"/>
        <w:rPr>
          <w:rFonts w:ascii="仿宋_GB2312" w:hAnsi="宋体" w:eastAsia="仿宋_GB2312" w:cs="黑体"/>
          <w:sz w:val="32"/>
          <w:szCs w:val="32"/>
          <w:vertAlign w:val="superscript"/>
        </w:rPr>
      </w:pPr>
      <w:r>
        <w:rPr>
          <w:rFonts w:hint="eastAsia"/>
          <w:sz w:val="32"/>
          <w:szCs w:val="32"/>
        </w:rPr>
        <w:t xml:space="preserve"> S=85C/C</w:t>
      </w:r>
      <w:r>
        <w:rPr>
          <w:rFonts w:hint="eastAsia"/>
          <w:sz w:val="32"/>
          <w:szCs w:val="32"/>
          <w:vertAlign w:val="superscript"/>
        </w:rPr>
        <w:t>*</w:t>
      </w:r>
    </w:p>
    <w:p>
      <w:pPr>
        <w:pStyle w:val="9"/>
        <w:spacing w:line="560" w:lineRule="exact"/>
        <w:ind w:left="0" w:leftChars="0" w:firstLine="645" w:firstLineChars="0"/>
        <w:jc w:val="left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C</w:t>
      </w:r>
      <w:r>
        <w:rPr>
          <w:rFonts w:hint="eastAsia" w:ascii="仿宋_GB2312" w:hAnsi="宋体" w:eastAsia="仿宋_GB2312" w:cs="黑体"/>
          <w:sz w:val="32"/>
          <w:szCs w:val="32"/>
          <w:vertAlign w:val="superscript"/>
        </w:rPr>
        <w:t>*</w:t>
      </w:r>
      <w:r>
        <w:rPr>
          <w:rFonts w:hint="eastAsia" w:ascii="仿宋_GB2312" w:hAnsi="宋体" w:eastAsia="仿宋_GB2312" w:cs="黑体"/>
          <w:sz w:val="32"/>
          <w:szCs w:val="32"/>
        </w:rPr>
        <w:t>:各队模型性能参数的最大值</w:t>
      </w:r>
    </w:p>
    <w:p>
      <w:pPr>
        <w:pStyle w:val="9"/>
        <w:spacing w:line="560" w:lineRule="exact"/>
        <w:ind w:left="0" w:leftChars="0" w:firstLine="645" w:firstLineChars="0"/>
        <w:jc w:val="left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i/>
          <w:sz w:val="32"/>
          <w:szCs w:val="32"/>
        </w:rPr>
        <w:t>C：</w:t>
      </w:r>
      <w:r>
        <w:rPr>
          <w:rFonts w:hint="eastAsia" w:ascii="仿宋_GB2312" w:hAnsi="宋体" w:eastAsia="仿宋_GB2312" w:cs="黑体"/>
          <w:sz w:val="32"/>
          <w:szCs w:val="32"/>
        </w:rPr>
        <w:t>本队模型的性能参数</w:t>
      </w:r>
    </w:p>
    <w:p>
      <w:pPr>
        <w:pStyle w:val="9"/>
        <w:spacing w:line="560" w:lineRule="exact"/>
        <w:ind w:left="0" w:leftChars="0" w:firstLine="645" w:firstLineChars="0"/>
        <w:jc w:val="left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i/>
          <w:sz w:val="32"/>
          <w:szCs w:val="32"/>
        </w:rPr>
        <w:t>S：</w:t>
      </w:r>
      <w:r>
        <w:rPr>
          <w:rFonts w:hint="eastAsia" w:ascii="仿宋_GB2312" w:hAnsi="宋体" w:eastAsia="仿宋_GB2312" w:cs="黑体"/>
          <w:sz w:val="32"/>
          <w:szCs w:val="32"/>
        </w:rPr>
        <w:t>本队模型性能得分</w:t>
      </w:r>
    </w:p>
    <w:p>
      <w:pPr>
        <w:pStyle w:val="9"/>
        <w:spacing w:line="560" w:lineRule="exact"/>
        <w:ind w:left="0" w:leftChars="0" w:firstLine="645" w:firstLineChars="0"/>
        <w:jc w:val="left"/>
        <w:rPr>
          <w:rFonts w:ascii="仿宋_GB2312" w:hAnsi="宋体" w:eastAsia="仿宋_GB2312" w:cs="黑体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黑体"/>
          <w:sz w:val="32"/>
          <w:szCs w:val="32"/>
        </w:rPr>
      </w:pPr>
      <w:r>
        <w:rPr>
          <w:rFonts w:ascii="仿宋_GB2312" w:hAnsi="宋体" w:eastAsia="仿宋_GB2312" w:cs="黑体"/>
          <w:sz w:val="32"/>
          <w:szCs w:val="32"/>
        </w:rPr>
        <w:br w:type="page"/>
      </w:r>
      <w:bookmarkStart w:id="0" w:name="_GoBack"/>
      <w:bookmarkEnd w:id="0"/>
    </w:p>
    <w:p>
      <w:pPr>
        <w:pStyle w:val="9"/>
        <w:spacing w:line="560" w:lineRule="exact"/>
        <w:ind w:left="0" w:leftChars="0" w:firstLine="0" w:firstLineChars="0"/>
        <w:jc w:val="left"/>
        <w:rPr>
          <w:rFonts w:ascii="仿宋_GB2312" w:hAnsi="宋体" w:eastAsia="仿宋_GB2312" w:cs="黑体"/>
          <w:b/>
          <w:sz w:val="36"/>
          <w:szCs w:val="36"/>
        </w:rPr>
      </w:pPr>
      <w:r>
        <w:rPr>
          <w:rFonts w:hint="eastAsia" w:ascii="仿宋_GB2312" w:hAnsi="宋体" w:eastAsia="仿宋_GB2312" w:cs="黑体"/>
          <w:b/>
          <w:sz w:val="36"/>
          <w:szCs w:val="36"/>
        </w:rPr>
        <w:t>展示组：</w:t>
      </w:r>
    </w:p>
    <w:p>
      <w:pPr>
        <w:pStyle w:val="9"/>
        <w:spacing w:line="560" w:lineRule="exact"/>
        <w:ind w:left="199" w:leftChars="95" w:firstLine="199" w:firstLineChars="62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一、参赛作品要求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参赛作品结构形式、结构所用材料不限，为便于展示和运输，每件结构模型的尺度限定为：最大单向尺寸不得大于800毫米。</w:t>
      </w:r>
      <w:r>
        <w:rPr>
          <w:rFonts w:hint="eastAsia" w:ascii="仿宋_GB2312" w:hAnsi="宋体" w:eastAsia="仿宋_GB2312"/>
          <w:sz w:val="32"/>
          <w:szCs w:val="32"/>
        </w:rPr>
        <w:t>尺寸超限者，不列为评比对象，只做展示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展示组模型</w:t>
      </w:r>
      <w:r>
        <w:rPr>
          <w:rFonts w:ascii="仿宋_GB2312" w:hAnsi="宋体" w:eastAsia="仿宋_GB2312"/>
          <w:sz w:val="32"/>
          <w:szCs w:val="32"/>
        </w:rPr>
        <w:t>作品应能反映必要的结构概念；应以展示学生的力学概念、结构概念、创新思维为主，不宜花费过多的经费。鼓励节能减排、循环经济的作品创新思路。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每个作品制作一个作品说明（A4纸打印），按照模板介绍作品名称、灵感来源、设计思路或作品特点等。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/>
          <w:sz w:val="32"/>
          <w:szCs w:val="32"/>
        </w:rPr>
      </w:pPr>
    </w:p>
    <w:p>
      <w:pPr>
        <w:pStyle w:val="9"/>
        <w:spacing w:line="560" w:lineRule="exact"/>
        <w:ind w:left="199" w:leftChars="95" w:firstLine="199" w:firstLineChars="62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二、评分细则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本次展示组竞赛主题为结构创新模型展开竞赛，评审程序如下：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1、将登记编号完成的所有参赛作品陈列在展示教室，每件作品前面标示作品序号，不得标注作品完成人。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2、每位专家或学生代表（学生代表为各参赛队的队长）发放评审打分表格，作品盲评打分（百分制）完成后在打分表底部签名。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3、评分完毕，上交打分表，由会务组对每件作品的各专家或学生代表所给分数进行计算，给出最终评分结果。</w:t>
      </w:r>
    </w:p>
    <w:p>
      <w:pPr>
        <w:pStyle w:val="9"/>
        <w:spacing w:line="560" w:lineRule="exact"/>
        <w:ind w:left="0" w:leftChars="0"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计算作品得分，学生代表打分在去除一个最高分和一个最低分后，取其平均分，该分值占总得分的50%；专家打分直接取其平均分，该分值占总得分的50%。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0612"/>
    <w:multiLevelType w:val="multilevel"/>
    <w:tmpl w:val="1BE60612"/>
    <w:lvl w:ilvl="0" w:tentative="0">
      <w:start w:val="1"/>
      <w:numFmt w:val="lowerLetter"/>
      <w:pStyle w:val="14"/>
      <w:lvlText w:val="%1)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ED60313"/>
    <w:multiLevelType w:val="multilevel"/>
    <w:tmpl w:val="5ED60313"/>
    <w:lvl w:ilvl="0" w:tentative="0">
      <w:start w:val="2"/>
      <w:numFmt w:val="decimal"/>
      <w:pStyle w:val="2"/>
      <w:lvlText w:val="图%1"/>
      <w:lvlJc w:val="center"/>
      <w:pPr>
        <w:ind w:left="982" w:hanging="4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15"/>
    <w:rsid w:val="000141AD"/>
    <w:rsid w:val="00086F48"/>
    <w:rsid w:val="00096B35"/>
    <w:rsid w:val="000E0FF6"/>
    <w:rsid w:val="000E243A"/>
    <w:rsid w:val="00204E85"/>
    <w:rsid w:val="00214950"/>
    <w:rsid w:val="00221117"/>
    <w:rsid w:val="00222D02"/>
    <w:rsid w:val="00235F49"/>
    <w:rsid w:val="00246E5F"/>
    <w:rsid w:val="002473FE"/>
    <w:rsid w:val="00267BC2"/>
    <w:rsid w:val="002B6190"/>
    <w:rsid w:val="00341752"/>
    <w:rsid w:val="003508FC"/>
    <w:rsid w:val="003A5C44"/>
    <w:rsid w:val="003D49A4"/>
    <w:rsid w:val="00454A04"/>
    <w:rsid w:val="0049586D"/>
    <w:rsid w:val="004C3091"/>
    <w:rsid w:val="004F4665"/>
    <w:rsid w:val="005818B8"/>
    <w:rsid w:val="005823AB"/>
    <w:rsid w:val="005A1176"/>
    <w:rsid w:val="005B3C43"/>
    <w:rsid w:val="005D6080"/>
    <w:rsid w:val="006370D7"/>
    <w:rsid w:val="00686A68"/>
    <w:rsid w:val="00826DBF"/>
    <w:rsid w:val="00940F22"/>
    <w:rsid w:val="0095211B"/>
    <w:rsid w:val="00973975"/>
    <w:rsid w:val="009B181A"/>
    <w:rsid w:val="009B73C6"/>
    <w:rsid w:val="00A0470A"/>
    <w:rsid w:val="00A92355"/>
    <w:rsid w:val="00B0074F"/>
    <w:rsid w:val="00B52E38"/>
    <w:rsid w:val="00BC07C2"/>
    <w:rsid w:val="00BD496A"/>
    <w:rsid w:val="00C455C0"/>
    <w:rsid w:val="00C863FE"/>
    <w:rsid w:val="00CA30EF"/>
    <w:rsid w:val="00CE4671"/>
    <w:rsid w:val="00D1196F"/>
    <w:rsid w:val="00D121E4"/>
    <w:rsid w:val="00D1238C"/>
    <w:rsid w:val="00D63D34"/>
    <w:rsid w:val="00DB6115"/>
    <w:rsid w:val="00F356FB"/>
    <w:rsid w:val="00FE54FA"/>
    <w:rsid w:val="3C821857"/>
    <w:rsid w:val="465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2"/>
    <w:unhideWhenUsed/>
    <w:qFormat/>
    <w:uiPriority w:val="9"/>
    <w:pPr>
      <w:keepNext/>
      <w:keepLines/>
      <w:numPr>
        <w:ilvl w:val="0"/>
        <w:numId w:val="1"/>
      </w:numPr>
      <w:spacing w:afterLines="50" w:line="360" w:lineRule="auto"/>
      <w:ind w:left="0" w:firstLine="0"/>
      <w:jc w:val="center"/>
      <w:outlineLvl w:val="4"/>
    </w:pPr>
    <w:rPr>
      <w:rFonts w:ascii="楷体" w:hAnsi="楷体" w:eastAsia="楷体" w:cs="Times New Roman"/>
      <w:b/>
      <w:bCs/>
      <w:szCs w:val="21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（一）正文"/>
    <w:basedOn w:val="1"/>
    <w:uiPriority w:val="99"/>
    <w:pPr>
      <w:spacing w:line="360" w:lineRule="auto"/>
      <w:ind w:left="200" w:leftChars="200"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10">
    <w:name w:val="List Paragraph"/>
    <w:basedOn w:val="1"/>
    <w:link w:val="13"/>
    <w:qFormat/>
    <w:uiPriority w:val="34"/>
    <w:pPr>
      <w:widowControl/>
      <w:spacing w:after="160" w:line="259" w:lineRule="auto"/>
      <w:ind w:firstLine="420" w:firstLineChars="200"/>
      <w:jc w:val="left"/>
    </w:pPr>
    <w:rPr>
      <w:rFonts w:ascii="Calibri" w:hAnsi="Calibri" w:eastAsia="Calibri" w:cs="Calibri"/>
      <w:color w:val="000000"/>
      <w:sz w:val="22"/>
    </w:rPr>
  </w:style>
  <w:style w:type="paragraph" w:customStyle="1" w:styleId="11">
    <w:name w:val="Table Paragraph"/>
    <w:basedOn w:val="1"/>
    <w:uiPriority w:val="0"/>
    <w:pPr>
      <w:autoSpaceDE w:val="0"/>
      <w:autoSpaceDN w:val="0"/>
      <w:spacing w:before="83"/>
      <w:jc w:val="center"/>
    </w:pPr>
    <w:rPr>
      <w:rFonts w:ascii="Times New Roman" w:hAnsi="Times New Roman" w:eastAsia="宋体" w:cs="Times New Roman"/>
      <w:szCs w:val="24"/>
    </w:rPr>
  </w:style>
  <w:style w:type="character" w:customStyle="1" w:styleId="12">
    <w:name w:val="标题 5 字符"/>
    <w:basedOn w:val="6"/>
    <w:link w:val="2"/>
    <w:uiPriority w:val="9"/>
    <w:rPr>
      <w:rFonts w:ascii="楷体" w:hAnsi="楷体" w:eastAsia="楷体" w:cs="Times New Roman"/>
      <w:b/>
      <w:bCs/>
      <w:szCs w:val="21"/>
    </w:rPr>
  </w:style>
  <w:style w:type="character" w:customStyle="1" w:styleId="13">
    <w:name w:val="列表段落 字符"/>
    <w:link w:val="10"/>
    <w:uiPriority w:val="34"/>
    <w:rPr>
      <w:rFonts w:ascii="Calibri" w:hAnsi="Calibri" w:eastAsia="Calibri" w:cs="Calibri"/>
      <w:color w:val="000000"/>
      <w:sz w:val="22"/>
    </w:rPr>
  </w:style>
  <w:style w:type="paragraph" w:customStyle="1" w:styleId="14">
    <w:name w:val="MTDisplayEquation"/>
    <w:basedOn w:val="10"/>
    <w:next w:val="1"/>
    <w:qFormat/>
    <w:uiPriority w:val="0"/>
    <w:pPr>
      <w:numPr>
        <w:ilvl w:val="0"/>
        <w:numId w:val="2"/>
      </w:numPr>
      <w:spacing w:after="0" w:line="360" w:lineRule="auto"/>
      <w:ind w:firstLine="0" w:firstLineChars="0"/>
      <w:jc w:val="both"/>
    </w:pPr>
    <w:rPr>
      <w:rFonts w:ascii="Times New Roman" w:hAnsi="Times New Roman" w:eastAsia="楷体" w:cs="Times New Roman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315</Words>
  <Characters>1798</Characters>
  <Lines>14</Lines>
  <Paragraphs>4</Paragraphs>
  <TotalTime>318</TotalTime>
  <ScaleCrop>false</ScaleCrop>
  <LinksUpToDate>false</LinksUpToDate>
  <CharactersWithSpaces>2109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2017-10-11T11:22:00Z</dcterms:created>
  <dc:creator>w10</dc:creator>
  <cp:lastModifiedBy>是赵东升</cp:lastModifiedBy>
  <dcterms:modified xsi:type="dcterms:W3CDTF">2022-10-04T11:38:56Z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