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CD" w:rsidRPr="005B05CD" w:rsidRDefault="005B05CD" w:rsidP="005B05CD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  <w:r w:rsidRPr="005B05CD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长空学院学生联盟换届竞选职位要求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28"/>
          <w:szCs w:val="28"/>
        </w:rPr>
      </w:pPr>
      <w:r w:rsidRPr="005B05CD">
        <w:rPr>
          <w:rFonts w:ascii="黑体" w:eastAsia="黑体" w:hAnsi="黑体" w:cs="Times New Roman" w:hint="eastAsia"/>
          <w:kern w:val="2"/>
          <w:sz w:val="28"/>
          <w:szCs w:val="28"/>
        </w:rPr>
        <w:t>一、主席团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主席团成员需要拥有完成以下事务的能力：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</w:t>
      </w:r>
      <w:bookmarkStart w:id="0" w:name="_Hlk515310399"/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1）做好长空学院各类活动的年度总体规划和要求；</w:t>
      </w:r>
      <w:bookmarkEnd w:id="0"/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（2）领导各部门开展活动；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（3）制定学生联盟各项规章制度；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（4）监督各部门工作的展开；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（5）主持召开各类会议；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（6）协调相关重要事宜。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8"/>
          <w:szCs w:val="28"/>
        </w:rPr>
      </w:pPr>
      <w:r w:rsidRPr="005B05CD">
        <w:rPr>
          <w:rFonts w:ascii="黑体" w:eastAsia="黑体" w:hAnsi="黑体" w:cs="Times New Roman" w:hint="eastAsia"/>
          <w:kern w:val="2"/>
          <w:sz w:val="28"/>
          <w:szCs w:val="28"/>
        </w:rPr>
        <w:t>二、部长及副部长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各部门部长及副部长需要拥有完成以下事务的能力：</w:t>
      </w:r>
    </w:p>
    <w:p w:rsidR="005B05CD" w:rsidRPr="005B05CD" w:rsidRDefault="005B05CD" w:rsidP="005B05CD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秘书部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（1）协助主席团撰写活动总策划（即分配各项任务）以及处理日常事务；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（2）协助主席团具体制定各项规章制度；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（3）负责各类文稿的撰写和归档；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（4）管理各类文件、书籍、工作档案；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（5）负责各类会议会务工作，包括会议通知、会议现场服务、考勤以及会议内容的撰写与整理等；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（6）负责学联办公室的管理、值班安排、环境布置；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（7）其它综合类事务。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2、外联部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（1）负责各类活动对外联络工作，策划实施对外联络活动方案；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（2）加强与学校其他各级组织的联系以及合作；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（3）协助各类活动的具体实施；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（4）邀请校内外知名学者专家为培优班学生开展系列讲座；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（5）负责学联的财务管理。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3、宣传部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（1）负责各类活动的宣传工作；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（2）对各类宣传活动提供技术支持，包括宣传海报、宣传手册、PPT、视频等的制作以及活动照片的拍摄；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（3）定期举办宣传技能培训；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（4）其它宣传事务。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4、实践部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（1）在主席团领导下，提出各类活动方案策划和设想；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（2）负责活动的具体组织和实施，制定具体活动方案并做好分工；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（3）组织、协调学生联盟跨校、院、部门开展活动。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5、网宣部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（1）负责</w:t>
      </w:r>
      <w:proofErr w:type="gramStart"/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微信平台</w:t>
      </w:r>
      <w:proofErr w:type="gramEnd"/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的推送，包括</w:t>
      </w:r>
      <w:proofErr w:type="gramStart"/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日常微信活动</w:t>
      </w:r>
      <w:proofErr w:type="gramEnd"/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宣传的策划、实施和推送；</w:t>
      </w:r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（2）负责长空学院具体活动</w:t>
      </w:r>
      <w:proofErr w:type="gramStart"/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的微信推送和微信宣传</w:t>
      </w:r>
      <w:proofErr w:type="gramEnd"/>
    </w:p>
    <w:p w:rsidR="005B05CD" w:rsidRPr="005B05CD" w:rsidRDefault="005B05CD" w:rsidP="005B05CD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24"/>
          <w:szCs w:val="24"/>
        </w:rPr>
      </w:pPr>
      <w:r w:rsidRPr="005B05CD">
        <w:rPr>
          <w:rFonts w:ascii="黑体" w:eastAsia="黑体" w:hAnsi="黑体" w:cs="Times New Roman" w:hint="eastAsia"/>
          <w:kern w:val="2"/>
          <w:sz w:val="24"/>
          <w:szCs w:val="24"/>
        </w:rPr>
        <w:t>（3）负责整理网络平台上的同学反馈及疑问答复。</w:t>
      </w:r>
    </w:p>
    <w:p w:rsidR="004358AB" w:rsidRPr="005B05CD" w:rsidRDefault="004358AB" w:rsidP="00323B43">
      <w:bookmarkStart w:id="1" w:name="_GoBack"/>
      <w:bookmarkEnd w:id="1"/>
    </w:p>
    <w:sectPr w:rsidR="004358AB" w:rsidRPr="005B05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D"/>
    <w:rsid w:val="00323B43"/>
    <w:rsid w:val="003D37D8"/>
    <w:rsid w:val="004358AB"/>
    <w:rsid w:val="005B05CD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247F-99EF-4585-8FA2-D20D7362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loch</dc:creator>
  <cp:keywords/>
  <dc:description/>
  <cp:lastModifiedBy>su loch</cp:lastModifiedBy>
  <cp:revision>1</cp:revision>
  <dcterms:created xsi:type="dcterms:W3CDTF">2018-05-29T08:59:00Z</dcterms:created>
  <dcterms:modified xsi:type="dcterms:W3CDTF">2018-05-29T09:00:00Z</dcterms:modified>
</cp:coreProperties>
</file>