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仿宋" w:hAnsi="仿宋" w:eastAsia="仿宋" w:cs="仿宋"/>
          <w:kern w:val="2"/>
          <w:sz w:val="28"/>
          <w:szCs w:val="36"/>
          <w:lang w:val="en-US" w:eastAsia="zh-CN" w:bidi="ar-SA"/>
        </w:rPr>
        <w:id w:val="147476999"/>
        <w15:color w:val="DBDBDB"/>
        <w:docPartObj>
          <w:docPartGallery w:val="Table of Contents"/>
          <w:docPartUnique/>
        </w:docPartObj>
      </w:sdtPr>
      <w:sdtEndPr>
        <w:rPr>
          <w:sz w:val="21"/>
          <w:szCs w:val="21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36"/>
            </w:rPr>
            <w:t>目</w:t>
          </w:r>
          <w:bookmarkStart w:id="27" w:name="_GoBack"/>
          <w:bookmarkEnd w:id="27"/>
          <w:r>
            <w:rPr>
              <w:rFonts w:hint="eastAsia" w:ascii="仿宋" w:hAnsi="仿宋" w:eastAsia="仿宋" w:cs="仿宋"/>
              <w:sz w:val="28"/>
              <w:szCs w:val="36"/>
            </w:rPr>
            <w:t>录</w:t>
          </w:r>
        </w:p>
        <w:p>
          <w:pPr>
            <w:pStyle w:val="13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_Toc25682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 xml:space="preserve">1. </w: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教师征题流程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_Toc25682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_Toc20220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1.1. 信息门户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_Toc20220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_Toc17563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1.1.1. 输入网址进入信息门户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_Toc17563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_Toc5018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1.1.2. 通过南航教务系统进行登录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_Toc5018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_Toc25851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>1.1.3. 信息门户详情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_Toc25851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_Toc3049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 xml:space="preserve">1.1.4. </w: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申报入口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_Toc3049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_Toc862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 xml:space="preserve">1.1.5. </w: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个人信息面板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_Toc862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_Toc24565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 xml:space="preserve">1.1.6. </w: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综合统计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_Toc24565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_Toc10816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 xml:space="preserve">1.1.7. </w: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任务面板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_Toc10816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_Toc28767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  <w:lang w:val="en-US" w:eastAsia="zh-CN"/>
            </w:rPr>
            <w:t xml:space="preserve">1.1.8. </w:t>
          </w:r>
          <w:r>
            <w:rPr>
              <w:rFonts w:hint="eastAsia" w:ascii="仿宋" w:hAnsi="仿宋" w:eastAsia="仿宋" w:cs="仿宋"/>
              <w:sz w:val="24"/>
              <w:szCs w:val="24"/>
              <w:highlight w:val="none"/>
              <w:lang w:val="en-US" w:eastAsia="zh-CN"/>
            </w:rPr>
            <w:t>进入科创项目管理系统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_Toc28767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7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_Toc8044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48"/>
              <w:lang w:val="en-US" w:eastAsia="zh-CN"/>
            </w:rPr>
            <w:t xml:space="preserve">1.2. </w:t>
          </w:r>
          <w:r>
            <w:rPr>
              <w:rFonts w:hint="eastAsia" w:ascii="仿宋" w:hAnsi="仿宋" w:eastAsia="仿宋" w:cs="仿宋"/>
              <w:bCs/>
              <w:sz w:val="24"/>
              <w:szCs w:val="48"/>
              <w:highlight w:val="none"/>
              <w:lang w:val="en-US" w:eastAsia="zh-CN"/>
            </w:rPr>
            <w:t>教师发布征题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_Toc8044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7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_Toc31922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48"/>
              <w:lang w:val="en-US" w:eastAsia="zh-CN"/>
            </w:rPr>
            <w:t xml:space="preserve">1.3. </w:t>
          </w:r>
          <w:r>
            <w:rPr>
              <w:rFonts w:hint="eastAsia" w:ascii="仿宋" w:hAnsi="仿宋" w:eastAsia="仿宋" w:cs="仿宋"/>
              <w:bCs/>
              <w:sz w:val="24"/>
              <w:szCs w:val="48"/>
              <w:highlight w:val="none"/>
              <w:lang w:val="en-US" w:eastAsia="zh-CN"/>
            </w:rPr>
            <w:t>教师报名征题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_Toc31922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9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360" w:lineRule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_Toc6540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48"/>
              <w:lang w:val="en-US" w:eastAsia="zh-CN"/>
            </w:rPr>
            <w:t xml:space="preserve">1.4. </w:t>
          </w:r>
          <w:r>
            <w:rPr>
              <w:rFonts w:hint="eastAsia" w:ascii="仿宋" w:hAnsi="仿宋" w:eastAsia="仿宋" w:cs="仿宋"/>
              <w:bCs/>
              <w:sz w:val="24"/>
              <w:szCs w:val="48"/>
              <w:highlight w:val="none"/>
              <w:lang w:val="en-US" w:eastAsia="zh-CN"/>
            </w:rPr>
            <w:t>教师选择学生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_Toc6540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</w:sdtContent>
    </w:sdt>
    <w:p>
      <w:pPr>
        <w:rPr>
          <w:rFonts w:hint="eastAsia" w:ascii="仿宋" w:hAnsi="仿宋" w:eastAsia="仿宋" w:cs="仿宋"/>
          <w:highlight w:val="none"/>
          <w:lang w:val="en-US" w:eastAsia="zh-CN"/>
        </w:rPr>
      </w:pPr>
      <w:r>
        <w:rPr>
          <w:rFonts w:hint="eastAsia" w:ascii="仿宋" w:hAnsi="仿宋" w:eastAsia="仿宋" w:cs="仿宋"/>
          <w:highlight w:val="none"/>
          <w:lang w:val="en-US" w:eastAsia="zh-CN"/>
        </w:rPr>
        <w:br w:type="page"/>
      </w:r>
    </w:p>
    <w:p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 w:ascii="仿宋" w:hAnsi="仿宋" w:eastAsia="仿宋" w:cs="仿宋"/>
          <w:highlight w:val="none"/>
          <w:lang w:val="en-US" w:eastAsia="zh-CN"/>
        </w:rPr>
      </w:pPr>
      <w:bookmarkStart w:id="0" w:name="_Toc25682"/>
      <w:r>
        <w:rPr>
          <w:rFonts w:hint="eastAsia" w:ascii="仿宋" w:hAnsi="仿宋" w:eastAsia="仿宋" w:cs="仿宋"/>
          <w:highlight w:val="none"/>
          <w:lang w:val="en-US" w:eastAsia="zh-CN"/>
        </w:rPr>
        <w:t>教师征题流程</w:t>
      </w:r>
      <w:bookmarkEnd w:id="0"/>
    </w:p>
    <w:p>
      <w:pPr>
        <w:pStyle w:val="11"/>
        <w:bidi w:val="0"/>
        <w:rPr>
          <w:rFonts w:hint="eastAsia"/>
          <w:lang w:val="en-US" w:eastAsia="zh-CN"/>
        </w:rPr>
      </w:pPr>
      <w:bookmarkStart w:id="1" w:name="_Toc20220"/>
      <w:r>
        <w:rPr>
          <w:rFonts w:hint="eastAsia"/>
          <w:lang w:val="en-US" w:eastAsia="zh-CN"/>
        </w:rPr>
        <w:t>信息门户</w:t>
      </w:r>
      <w:bookmarkEnd w:id="1"/>
    </w:p>
    <w:p>
      <w:pPr>
        <w:pStyle w:val="12"/>
        <w:bidi w:val="0"/>
        <w:rPr>
          <w:rFonts w:hint="eastAsia"/>
          <w:lang w:val="en-US" w:eastAsia="zh-CN"/>
        </w:rPr>
      </w:pPr>
      <w:bookmarkStart w:id="2" w:name="_Toc23762"/>
      <w:bookmarkStart w:id="3" w:name="_Toc17563"/>
      <w:r>
        <w:rPr>
          <w:rFonts w:hint="eastAsia"/>
          <w:lang w:val="en-US" w:eastAsia="zh-CN"/>
        </w:rPr>
        <w:t>输入网址进入信息门户</w:t>
      </w:r>
      <w:bookmarkEnd w:id="2"/>
      <w:bookmarkEnd w:id="3"/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首先，在浏览器网址栏输入实践平台网址：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instrText xml:space="preserve"> HYPERLINK "https://pcmp.nuaa.edu.cn/index" </w:instrTex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https://pcmp.nuaa.edu.cn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，进入创新实践管理平台首页；</w:t>
      </w:r>
    </w:p>
    <w:p>
      <w:pPr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72405" cy="2653665"/>
            <wp:effectExtent l="0" t="0" r="1079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rPr>
          <w:rFonts w:hint="eastAsia"/>
          <w:lang w:val="en-US" w:eastAsia="zh-CN"/>
        </w:rPr>
      </w:pPr>
      <w:bookmarkStart w:id="4" w:name="_Toc29682"/>
      <w:bookmarkStart w:id="5" w:name="_Toc5018"/>
      <w:r>
        <w:rPr>
          <w:rFonts w:hint="eastAsia"/>
          <w:lang w:val="en-US" w:eastAsia="zh-CN"/>
        </w:rPr>
        <w:t>通过南航教务系统进行登录</w:t>
      </w:r>
      <w:bookmarkEnd w:id="4"/>
      <w:bookmarkEnd w:id="5"/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首先，进入南航教务处官网首页，在页面中找到“创新实践管理平台”快捷入口，点击进入创新实践管理平台首页，点击“登录信息门户”按钮，进入统一身份认证登录页面。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267325" cy="1528445"/>
            <wp:effectExtent l="0" t="0" r="3175" b="825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rcRect t="639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72405" cy="2653665"/>
            <wp:effectExtent l="0" t="0" r="10795" b="63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教师输入自己的账号密码后，点击“登录”按钮，即可进入信息门户。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07000" cy="2674620"/>
            <wp:effectExtent l="0" t="0" r="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102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rPr>
          <w:rFonts w:hint="eastAsia"/>
          <w:lang w:val="en-US" w:eastAsia="zh-CN"/>
        </w:rPr>
      </w:pPr>
      <w:bookmarkStart w:id="6" w:name="_Toc31057"/>
      <w:bookmarkStart w:id="7" w:name="_Toc3232"/>
      <w:bookmarkStart w:id="8" w:name="_Toc25851"/>
      <w:r>
        <w:rPr>
          <w:rFonts w:hint="eastAsia"/>
          <w:lang w:val="en-US" w:eastAsia="zh-CN"/>
        </w:rPr>
        <w:t>信息门户详情</w:t>
      </w:r>
      <w:bookmarkEnd w:id="6"/>
      <w:bookmarkEnd w:id="7"/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0500" cy="2935605"/>
            <wp:effectExtent l="0" t="0" r="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  <w:rPr>
          <w:rFonts w:hint="eastAsia" w:ascii="仿宋" w:hAnsi="仿宋" w:eastAsia="仿宋" w:cs="仿宋"/>
          <w:highlight w:val="none"/>
          <w:lang w:val="en-US" w:eastAsia="zh-CN"/>
        </w:rPr>
      </w:pPr>
      <w:bookmarkStart w:id="9" w:name="_Toc28698"/>
      <w:bookmarkStart w:id="10" w:name="_Toc3049"/>
      <w:r>
        <w:rPr>
          <w:rFonts w:hint="eastAsia" w:cs="仿宋"/>
          <w:highlight w:val="none"/>
          <w:lang w:val="en-US" w:eastAsia="zh-CN"/>
        </w:rPr>
        <w:t>申报入口</w:t>
      </w:r>
      <w:bookmarkEnd w:id="9"/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信息门户首页上方板块为申报入口，显示当前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教师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可申报的活动讲座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和学生竞赛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70500" cy="2091055"/>
            <wp:effectExtent l="0" t="0" r="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  <w:rPr>
          <w:rFonts w:hint="eastAsia" w:ascii="仿宋" w:hAnsi="仿宋" w:eastAsia="仿宋" w:cs="仿宋"/>
          <w:highlight w:val="none"/>
          <w:lang w:val="en-US" w:eastAsia="zh-CN"/>
        </w:rPr>
      </w:pPr>
      <w:bookmarkStart w:id="11" w:name="_Toc9738"/>
      <w:bookmarkStart w:id="12" w:name="_Toc32706"/>
      <w:bookmarkStart w:id="13" w:name="_Toc862"/>
      <w:r>
        <w:rPr>
          <w:rFonts w:hint="eastAsia" w:ascii="仿宋" w:hAnsi="仿宋" w:eastAsia="仿宋" w:cs="仿宋"/>
          <w:highlight w:val="none"/>
          <w:lang w:val="en-US" w:eastAsia="zh-CN"/>
        </w:rPr>
        <w:t>个人信息面板</w:t>
      </w:r>
      <w:bookmarkEnd w:id="11"/>
      <w:bookmarkEnd w:id="12"/>
      <w:bookmarkEnd w:id="1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信息门户首页左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板块为个人信息面板，显示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教师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个人信息。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highlight w:val="none"/>
        </w:rPr>
        <w:drawing>
          <wp:inline distT="0" distB="0" distL="114300" distR="114300">
            <wp:extent cx="5267325" cy="1676400"/>
            <wp:effectExtent l="0" t="0" r="317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  <w:rPr>
          <w:rFonts w:hint="eastAsia" w:ascii="仿宋" w:hAnsi="仿宋" w:eastAsia="仿宋" w:cs="仿宋"/>
          <w:highlight w:val="none"/>
          <w:lang w:val="en-US" w:eastAsia="zh-CN"/>
        </w:rPr>
      </w:pPr>
      <w:bookmarkStart w:id="14" w:name="_Toc26700"/>
      <w:bookmarkStart w:id="15" w:name="_Toc24565"/>
      <w:r>
        <w:rPr>
          <w:rFonts w:hint="eastAsia" w:cs="仿宋"/>
          <w:highlight w:val="none"/>
          <w:lang w:val="en-US" w:eastAsia="zh-CN"/>
        </w:rPr>
        <w:t>综合统计</w:t>
      </w:r>
      <w:bookmarkEnd w:id="14"/>
      <w:bookmarkEnd w:id="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信息门户首页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左下角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板块为快捷入口，点击各板块可进入相应系统。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highlight w:val="none"/>
        </w:rPr>
        <w:drawing>
          <wp:inline distT="0" distB="0" distL="114300" distR="114300">
            <wp:extent cx="5272405" cy="3056255"/>
            <wp:effectExtent l="0" t="0" r="1079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  <w:rPr>
          <w:rFonts w:hint="eastAsia" w:ascii="仿宋" w:hAnsi="仿宋" w:eastAsia="仿宋" w:cs="仿宋"/>
          <w:highlight w:val="none"/>
          <w:lang w:val="en-US" w:eastAsia="zh-CN"/>
        </w:rPr>
      </w:pPr>
      <w:bookmarkStart w:id="16" w:name="_Toc9666"/>
      <w:bookmarkStart w:id="17" w:name="_Toc21092"/>
      <w:bookmarkStart w:id="18" w:name="_Toc10816"/>
      <w:r>
        <w:rPr>
          <w:rFonts w:hint="eastAsia" w:ascii="仿宋" w:hAnsi="仿宋" w:eastAsia="仿宋" w:cs="仿宋"/>
          <w:highlight w:val="none"/>
          <w:lang w:val="en-US" w:eastAsia="zh-CN"/>
        </w:rPr>
        <w:t>任务面板</w:t>
      </w:r>
      <w:bookmarkEnd w:id="16"/>
      <w:bookmarkEnd w:id="17"/>
      <w:bookmarkEnd w:id="1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信息门户首页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右侧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板块为任务面板，可查看或快速操作相应项目。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highlight w:val="none"/>
        </w:rPr>
        <w:drawing>
          <wp:inline distT="0" distB="0" distL="114300" distR="114300">
            <wp:extent cx="5269230" cy="3016885"/>
            <wp:effectExtent l="0" t="0" r="1270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点击任务板中</w:t>
      </w:r>
      <w:r>
        <w:rPr>
          <w:rFonts w:hint="eastAsia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相应的系统板块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按钮，可切换查看</w:t>
      </w:r>
      <w:r>
        <w:rPr>
          <w:rFonts w:hint="eastAsia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相应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系统的任务</w:t>
      </w:r>
      <w:r>
        <w:rPr>
          <w:rFonts w:hint="eastAsia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highlight w:val="none"/>
        </w:rPr>
        <w:drawing>
          <wp:inline distT="0" distB="0" distL="114300" distR="114300">
            <wp:extent cx="5267325" cy="1641475"/>
            <wp:effectExtent l="0" t="0" r="3175" b="952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任务板主要部分为项目列表，科创项目任务的项目列表包括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待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申报项目和已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指导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的项目申报，点击“</w:t>
      </w: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审核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”按钮可进行相应项目的立项申报，点击“查看详情”按钮可进入相应项目详情页。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2405" cy="2042795"/>
            <wp:effectExtent l="0" t="0" r="10795" b="190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237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  <w:rPr>
          <w:rFonts w:hint="eastAsia" w:ascii="仿宋" w:hAnsi="仿宋" w:eastAsia="仿宋" w:cs="仿宋"/>
          <w:highlight w:val="none"/>
          <w:lang w:val="en-US" w:eastAsia="zh-CN"/>
        </w:rPr>
      </w:pPr>
      <w:bookmarkStart w:id="19" w:name="_Toc3934"/>
      <w:bookmarkStart w:id="20" w:name="_Toc16986"/>
      <w:bookmarkStart w:id="21" w:name="_Toc9126"/>
      <w:bookmarkStart w:id="22" w:name="_Toc23062"/>
      <w:bookmarkStart w:id="23" w:name="_Toc28767"/>
      <w:r>
        <w:rPr>
          <w:rFonts w:hint="eastAsia" w:ascii="仿宋" w:hAnsi="仿宋" w:eastAsia="仿宋" w:cs="仿宋"/>
          <w:highlight w:val="none"/>
          <w:lang w:val="en-US" w:eastAsia="zh-CN"/>
        </w:rPr>
        <w:t>进入</w:t>
      </w:r>
      <w:r>
        <w:rPr>
          <w:rFonts w:hint="eastAsia" w:cs="仿宋"/>
          <w:highlight w:val="none"/>
          <w:lang w:val="en-US" w:eastAsia="zh-CN"/>
        </w:rPr>
        <w:t>科创项目管理</w:t>
      </w:r>
      <w:r>
        <w:rPr>
          <w:rFonts w:hint="eastAsia" w:ascii="仿宋" w:hAnsi="仿宋" w:eastAsia="仿宋" w:cs="仿宋"/>
          <w:highlight w:val="none"/>
          <w:lang w:val="en-US" w:eastAsia="zh-CN"/>
        </w:rPr>
        <w:t>系统</w:t>
      </w:r>
      <w:bookmarkEnd w:id="19"/>
      <w:bookmarkEnd w:id="20"/>
      <w:bookmarkEnd w:id="21"/>
      <w:bookmarkEnd w:id="22"/>
      <w:bookmarkEnd w:id="2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右上角菜单按钮，进入菜单页面；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1135" cy="1289050"/>
            <wp:effectExtent l="0" t="0" r="12065" b="635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cs="仿宋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菜单页面点击“项目管理系统”按钮，可进入科创项目管理系统。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3515" cy="1741170"/>
            <wp:effectExtent l="0" t="0" r="6985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highlight w:val="none"/>
          <w:lang w:val="en-US" w:eastAsia="zh-CN"/>
        </w:rPr>
      </w:pPr>
    </w:p>
    <w:p>
      <w:pPr>
        <w:pStyle w:val="3"/>
        <w:numPr>
          <w:ilvl w:val="1"/>
          <w:numId w:val="2"/>
        </w:numPr>
        <w:bidi w:val="0"/>
        <w:spacing w:before="0" w:beforeLines="-2147483648" w:beforeAutospacing="0" w:after="0" w:afterLines="-2147483648" w:afterAutospacing="0" w:line="360" w:lineRule="auto"/>
        <w:ind w:left="567" w:leftChars="0" w:hanging="567" w:firstLineChars="0"/>
        <w:rPr>
          <w:rFonts w:hint="eastAsia" w:ascii="仿宋" w:hAnsi="仿宋" w:eastAsia="仿宋" w:cs="仿宋"/>
          <w:bCs/>
          <w:color w:val="000000" w:themeColor="text1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8044"/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教师发布征题</w:t>
      </w:r>
      <w:bookmarkEnd w:id="24"/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点击右上角菜单按钮，进入菜单页面，点击“我的征题”按钮，进入征题管理页面；</w:t>
      </w:r>
    </w:p>
    <w:p>
      <w:pPr>
        <w:bidi w:val="0"/>
      </w:pPr>
      <w:r>
        <w:drawing>
          <wp:inline distT="0" distB="0" distL="114300" distR="114300">
            <wp:extent cx="5288280" cy="1732915"/>
            <wp:effectExtent l="0" t="0" r="762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2149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1773555"/>
            <wp:effectExtent l="0" t="0" r="8890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在发布征题时间段内，教师可点击页面左上角的“发布征题”按钮，进行项目征题申请；</w:t>
      </w:r>
    </w:p>
    <w:p>
      <w:p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56530" cy="1935480"/>
            <wp:effectExtent l="0" t="0" r="127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征题可填写题目名称、课题简介、技术指标、学生要求内容，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题目名称需注明项目必要信息，例如项目管理学院、项目时间、项目类型等，便于学生和教师直观了解项目征题内容（例：01院-2025-天目启航-征题活动）：</w:t>
      </w:r>
    </w:p>
    <w:p>
      <w:p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002790"/>
            <wp:effectExtent l="0" t="0" r="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征题内容填报完成后，可点击“保存”或“提交”按钮，保存后当前征题内容可继续编辑；确认征题内容无误后，可点击提交按钮提交发布当前征题，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征题发布后不可编辑或删除，请务必确认内容无误后再点击“提交”按钮。</w:t>
      </w:r>
    </w:p>
    <w:p>
      <w:pPr>
        <w:bidi w:val="0"/>
      </w:pPr>
      <w:r>
        <w:drawing>
          <wp:inline distT="0" distB="0" distL="114300" distR="114300">
            <wp:extent cx="5273040" cy="2089785"/>
            <wp:effectExtent l="0" t="0" r="10160" b="571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征题申报由院级管理员审核，管理员审核通过后，学生即可对相应征题进行报名。</w:t>
      </w:r>
    </w:p>
    <w:p>
      <w:r>
        <w:drawing>
          <wp:inline distT="0" distB="0" distL="114300" distR="114300">
            <wp:extent cx="5258435" cy="1657985"/>
            <wp:effectExtent l="0" t="0" r="12065" b="571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spacing w:before="0" w:beforeLines="-2147483648" w:beforeAutospacing="0" w:after="0" w:afterLines="-2147483648" w:afterAutospacing="0" w:line="360" w:lineRule="auto"/>
        <w:ind w:left="567" w:leftChars="0" w:hanging="567" w:firstLineChars="0"/>
        <w:rPr>
          <w:rFonts w:hint="eastAsia" w:ascii="仿宋" w:hAnsi="仿宋" w:eastAsia="仿宋" w:cs="仿宋"/>
          <w:bCs/>
          <w:color w:val="000000" w:themeColor="text1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31922"/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教师报名征题</w:t>
      </w:r>
      <w:bookmarkEnd w:id="25"/>
    </w:p>
    <w:p>
      <w:pPr>
        <w:bidi w:val="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在教师报名时间段，教师点击征题后的“报名”按钮，可报名相应项目征题，报名后可选择报名学生参与相应征题。</w:t>
      </w:r>
    </w:p>
    <w:p>
      <w:r>
        <w:drawing>
          <wp:inline distT="0" distB="0" distL="114300" distR="114300">
            <wp:extent cx="5273040" cy="141605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51765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456690"/>
            <wp:effectExtent l="0" t="0" r="381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spacing w:before="0" w:beforeLines="-2147483648" w:beforeAutospacing="0" w:after="0" w:afterLines="-2147483648" w:afterAutospacing="0" w:line="360" w:lineRule="auto"/>
        <w:ind w:left="567" w:leftChars="0" w:hanging="567" w:firstLineChars="0"/>
        <w:rPr>
          <w:rFonts w:hint="eastAsia" w:ascii="仿宋" w:hAnsi="仿宋" w:eastAsia="仿宋" w:cs="仿宋"/>
          <w:bCs/>
          <w:color w:val="000000" w:themeColor="text1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6540"/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教师选择学生</w:t>
      </w:r>
      <w:bookmarkEnd w:id="26"/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在学生报名时间段，当教师发布的征题通过，或教师已报名征题，教师可点击相应征题后的“选择学生”按钮，进行征题学生组队选择；</w:t>
      </w:r>
    </w:p>
    <w:p>
      <w:r>
        <w:drawing>
          <wp:inline distT="0" distB="0" distL="114300" distR="114300">
            <wp:extent cx="5262880" cy="1539875"/>
            <wp:effectExtent l="0" t="0" r="7620" b="952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在选择学生窗口中，可查看已报名征题学生信息和学生简历，点击相应学生后的选框可选择该学生加入团队，确认团队成员无误后点击“提交”按钮提交组队申报；</w:t>
      </w:r>
    </w:p>
    <w:p>
      <w:r>
        <w:drawing>
          <wp:inline distT="0" distB="0" distL="114300" distR="114300">
            <wp:extent cx="5272405" cy="2160905"/>
            <wp:effectExtent l="0" t="0" r="10795" b="1079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院级管理员审核组队通过后，该征题项目团队即通过入库。</w:t>
      </w:r>
    </w:p>
    <w:p>
      <w:p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55895" cy="1930400"/>
            <wp:effectExtent l="0" t="0" r="1905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72828"/>
    <w:multiLevelType w:val="multilevel"/>
    <w:tmpl w:val="80172828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5"/>
      <w:suff w:val="space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3F6B69D3"/>
    <w:multiLevelType w:val="multilevel"/>
    <w:tmpl w:val="3F6B69D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11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235F7E"/>
    <w:rsid w:val="026C2FDA"/>
    <w:rsid w:val="06287D4D"/>
    <w:rsid w:val="0A254741"/>
    <w:rsid w:val="0DBC2B89"/>
    <w:rsid w:val="13457A3C"/>
    <w:rsid w:val="1C1808ED"/>
    <w:rsid w:val="1E6C1A16"/>
    <w:rsid w:val="21880DC7"/>
    <w:rsid w:val="23CF643B"/>
    <w:rsid w:val="2432107A"/>
    <w:rsid w:val="25183999"/>
    <w:rsid w:val="279513AE"/>
    <w:rsid w:val="2E8904D5"/>
    <w:rsid w:val="30117FC0"/>
    <w:rsid w:val="32C166C5"/>
    <w:rsid w:val="33565EA7"/>
    <w:rsid w:val="39BB7FCE"/>
    <w:rsid w:val="3A8920E5"/>
    <w:rsid w:val="3AA13039"/>
    <w:rsid w:val="3D2436FF"/>
    <w:rsid w:val="3FA71A66"/>
    <w:rsid w:val="46F55B59"/>
    <w:rsid w:val="4B8804B6"/>
    <w:rsid w:val="57B946D8"/>
    <w:rsid w:val="5A0E14B6"/>
    <w:rsid w:val="5AD05B5D"/>
    <w:rsid w:val="5BE90D42"/>
    <w:rsid w:val="65B1167D"/>
    <w:rsid w:val="69235F7E"/>
    <w:rsid w:val="6D655092"/>
    <w:rsid w:val="71156497"/>
    <w:rsid w:val="7A636976"/>
    <w:rsid w:val="7C3F401D"/>
    <w:rsid w:val="7E045AD3"/>
    <w:rsid w:val="7F67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numPr>
        <w:ilvl w:val="0"/>
        <w:numId w:val="1"/>
      </w:numPr>
      <w:ind w:left="425" w:hanging="425" w:firstLineChars="0"/>
      <w:jc w:val="left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4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4"/>
    <w:unhideWhenUsed/>
    <w:qFormat/>
    <w:uiPriority w:val="0"/>
    <w:pPr>
      <w:keepNext/>
      <w:keepLines/>
      <w:numPr>
        <w:ilvl w:val="2"/>
        <w:numId w:val="1"/>
      </w:numPr>
      <w:spacing w:line="240" w:lineRule="auto"/>
      <w:ind w:left="709" w:hanging="709" w:firstLineChars="0"/>
      <w:jc w:val="left"/>
      <w:outlineLvl w:val="2"/>
    </w:pPr>
    <w:rPr>
      <w:rFonts w:ascii="仿宋" w:hAnsi="仿宋" w:eastAsia="仿宋" w:cs="仿宋"/>
      <w:b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样式"/>
    <w:basedOn w:val="1"/>
    <w:qFormat/>
    <w:locked/>
    <w:uiPriority w:val="2"/>
    <w:pPr>
      <w:spacing w:line="360" w:lineRule="auto"/>
      <w:ind w:firstLine="200" w:firstLineChars="200"/>
    </w:pPr>
    <w:rPr>
      <w:rFonts w:ascii="Courier New" w:hAnsi="Courier New" w:eastAsia="仿宋" w:cs="Courier New"/>
      <w:sz w:val="24"/>
      <w:szCs w:val="24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9">
    <w:name w:val="FollowedHyperlink"/>
    <w:basedOn w:val="8"/>
    <w:semiHidden/>
    <w:unhideWhenUsed/>
    <w:qFormat/>
    <w:uiPriority w:val="99"/>
    <w:rPr>
      <w:color w:val="800080"/>
      <w:u w:val="single"/>
    </w:rPr>
  </w:style>
  <w:style w:type="paragraph" w:customStyle="1" w:styleId="10">
    <w:name w:val="样式1"/>
    <w:basedOn w:val="3"/>
    <w:next w:val="1"/>
    <w:qFormat/>
    <w:uiPriority w:val="0"/>
    <w:rPr>
      <w:rFonts w:hint="eastAsia" w:ascii="仿宋" w:hAnsi="仿宋" w:eastAsia="仿宋" w:cstheme="majorBidi"/>
      <w:bCs/>
      <w:sz w:val="30"/>
      <w:szCs w:val="30"/>
      <w:shd w:val="clear" w:color="auto" w:fill="EDEDED"/>
    </w:rPr>
  </w:style>
  <w:style w:type="paragraph" w:customStyle="1" w:styleId="11">
    <w:name w:val="样式2"/>
    <w:basedOn w:val="1"/>
    <w:next w:val="1"/>
    <w:qFormat/>
    <w:uiPriority w:val="0"/>
    <w:pPr>
      <w:keepNext/>
      <w:keepLines/>
      <w:numPr>
        <w:ilvl w:val="1"/>
        <w:numId w:val="2"/>
      </w:numPr>
      <w:spacing w:line="360" w:lineRule="auto"/>
      <w:ind w:left="567" w:hanging="567"/>
      <w:outlineLvl w:val="1"/>
    </w:pPr>
    <w:rPr>
      <w:rFonts w:hint="eastAsia" w:ascii="仿宋" w:hAnsi="仿宋" w:eastAsia="仿宋" w:cs="仿宋"/>
      <w:b/>
      <w:bCs/>
      <w:color w:val="000000" w:themeColor="text1"/>
      <w:sz w:val="36"/>
      <w:szCs w:val="36"/>
      <w14:textFill>
        <w14:solidFill>
          <w14:schemeClr w14:val="tx1"/>
        </w14:solidFill>
      </w14:textFill>
    </w:rPr>
  </w:style>
  <w:style w:type="paragraph" w:customStyle="1" w:styleId="12">
    <w:name w:val="样式3"/>
    <w:basedOn w:val="1"/>
    <w:next w:val="1"/>
    <w:qFormat/>
    <w:uiPriority w:val="0"/>
    <w:pPr>
      <w:keepNext/>
      <w:keepLines/>
      <w:numPr>
        <w:ilvl w:val="2"/>
        <w:numId w:val="1"/>
      </w:numPr>
      <w:jc w:val="left"/>
      <w:outlineLvl w:val="2"/>
    </w:pPr>
    <w:rPr>
      <w:rFonts w:hint="eastAsia" w:ascii="仿宋" w:hAnsi="仿宋" w:eastAsia="仿宋" w:cs="仿宋"/>
      <w:b/>
      <w:sz w:val="32"/>
      <w:szCs w:val="32"/>
    </w:rPr>
  </w:style>
  <w:style w:type="paragraph" w:customStyle="1" w:styleId="13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中共佛山市委员会办公室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2025-11-06T06:15:00Z</dcterms:created>
  <dc:creator>顾轩</dc:creator>
  <cp:lastModifiedBy>顾轩</cp:lastModifiedBy>
  <dcterms:modified xsi:type="dcterms:W3CDTF">2025-11-12T00:56:19Z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814FF4896BA748C6AE2798C52E6E4B1D</vt:lpwstr>
  </property>
</Properties>
</file>