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8D" w:rsidRDefault="00AD5A25">
      <w:pPr>
        <w:pStyle w:val="1"/>
        <w:rPr>
          <w:sz w:val="56"/>
          <w:szCs w:val="56"/>
        </w:rPr>
      </w:pPr>
      <w:r>
        <w:rPr>
          <w:rFonts w:hint="eastAsia"/>
          <w:sz w:val="56"/>
          <w:szCs w:val="56"/>
          <w:lang w:val="en-US"/>
        </w:rPr>
        <w:t>登录</w:t>
      </w:r>
    </w:p>
    <w:p w:rsidR="00DF5E8D" w:rsidRDefault="00AD5A25"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地址</w:t>
      </w:r>
    </w:p>
    <w:p w:rsidR="00DF5E8D" w:rsidRDefault="00AD5A25">
      <w:pPr>
        <w:ind w:firstLine="480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系统地址：</w:t>
      </w:r>
    </w:p>
    <w:p w:rsidR="00DF5E8D" w:rsidRDefault="00AD5A25">
      <w:pPr>
        <w:ind w:firstLineChars="374" w:firstLine="898"/>
        <w:rPr>
          <w:sz w:val="24"/>
          <w:szCs w:val="24"/>
          <w:lang w:val="en-US"/>
        </w:rPr>
      </w:pPr>
      <w:r>
        <w:rPr>
          <w:rStyle w:val="a4"/>
          <w:rFonts w:hint="eastAsia"/>
          <w:sz w:val="24"/>
          <w:szCs w:val="24"/>
          <w:lang w:val="en-US"/>
        </w:rPr>
        <w:t>http://aao-eas.nuaa.edu.cn</w:t>
      </w:r>
    </w:p>
    <w:p w:rsidR="00DF5E8D" w:rsidRDefault="00AD5A25"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账号、密码</w:t>
      </w:r>
    </w:p>
    <w:p w:rsidR="00DF5E8D" w:rsidRDefault="00AD5A25">
      <w:pPr>
        <w:tabs>
          <w:tab w:val="center" w:pos="4153"/>
        </w:tabs>
        <w:ind w:firstLine="440"/>
        <w:rPr>
          <w:lang w:val="en-US"/>
        </w:rPr>
      </w:pPr>
      <w:r>
        <w:rPr>
          <w:rFonts w:hint="eastAsia"/>
          <w:b/>
          <w:bCs/>
          <w:lang w:val="en-US"/>
        </w:rPr>
        <w:t>账号：</w:t>
      </w:r>
      <w:r>
        <w:rPr>
          <w:rFonts w:hint="eastAsia"/>
          <w:lang w:val="en-US"/>
        </w:rPr>
        <w:t>账号为工号</w:t>
      </w:r>
    </w:p>
    <w:p w:rsidR="00DF5E8D" w:rsidRDefault="00AD5A25">
      <w:pPr>
        <w:tabs>
          <w:tab w:val="center" w:pos="4153"/>
        </w:tabs>
        <w:ind w:firstLine="440"/>
        <w:rPr>
          <w:lang w:val="en-US"/>
        </w:rPr>
      </w:pPr>
      <w:r>
        <w:rPr>
          <w:rFonts w:hint="eastAsia"/>
          <w:b/>
          <w:bCs/>
          <w:lang w:val="en-US"/>
        </w:rPr>
        <w:t>密码：</w:t>
      </w:r>
      <w:r>
        <w:rPr>
          <w:rFonts w:hint="eastAsia"/>
          <w:lang w:val="en-US"/>
        </w:rPr>
        <w:t>老教务系统密码</w:t>
      </w:r>
    </w:p>
    <w:p w:rsidR="00DF5E8D" w:rsidRDefault="00DF5E8D">
      <w:pPr>
        <w:tabs>
          <w:tab w:val="left" w:pos="523"/>
        </w:tabs>
        <w:ind w:firstLine="440"/>
      </w:pPr>
    </w:p>
    <w:p w:rsidR="00DF5E8D" w:rsidRDefault="00AD5A25">
      <w:pPr>
        <w:pStyle w:val="1"/>
        <w:rPr>
          <w:lang w:val="en-US"/>
        </w:rPr>
      </w:pPr>
      <w:r>
        <w:rPr>
          <w:rFonts w:hint="eastAsia"/>
          <w:lang w:val="en-US"/>
        </w:rPr>
        <w:t>前期</w:t>
      </w:r>
    </w:p>
    <w:p w:rsidR="00DF5E8D" w:rsidRDefault="00655C4A">
      <w:pPr>
        <w:ind w:firstLine="440"/>
        <w:rPr>
          <w:lang w:val="en-US"/>
        </w:rPr>
      </w:pPr>
      <w:r>
        <w:rPr>
          <w:rFonts w:hint="eastAsia"/>
          <w:lang w:val="en-US"/>
        </w:rPr>
        <w:t>学院管理员为本学院开设的每门课程指定课程负责人（前期已批量导入部分课程负责人）</w:t>
      </w:r>
    </w:p>
    <w:p w:rsidR="00655C4A" w:rsidRPr="00655C4A" w:rsidRDefault="00655C4A" w:rsidP="00655C4A">
      <w:pPr>
        <w:spacing w:before="0" w:after="0" w:line="240" w:lineRule="auto"/>
        <w:ind w:firstLineChars="0" w:firstLine="0"/>
        <w:rPr>
          <w:rFonts w:ascii="宋体" w:eastAsia="宋体" w:hAnsi="宋体" w:cs="宋体"/>
          <w:color w:val="auto"/>
          <w:sz w:val="24"/>
          <w:szCs w:val="24"/>
          <w:lang w:val="en-US"/>
        </w:rPr>
      </w:pPr>
      <w:r w:rsidRPr="00655C4A">
        <w:rPr>
          <w:rFonts w:ascii="宋体" w:eastAsia="宋体" w:hAnsi="宋体" w:cs="宋体"/>
          <w:noProof/>
          <w:color w:val="auto"/>
          <w:sz w:val="24"/>
          <w:szCs w:val="24"/>
          <w:lang w:val="en-US"/>
        </w:rPr>
        <w:drawing>
          <wp:inline distT="0" distB="0" distL="0" distR="0">
            <wp:extent cx="5274310" cy="2243455"/>
            <wp:effectExtent l="0" t="0" r="2540" b="4445"/>
            <wp:docPr id="5" name="图片 5" descr="C:\Users\SHI\AppData\Roaming\Tencent\Users\40929231\QQ\WinTemp\RichOle\N8{%Z9{XJFX]61623KZ`_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\AppData\Roaming\Tencent\Users\40929231\QQ\WinTemp\RichOle\N8{%Z9{XJFX]61623KZ`_R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4A" w:rsidRPr="00655C4A" w:rsidRDefault="00655C4A" w:rsidP="00655C4A">
      <w:pPr>
        <w:spacing w:before="0" w:after="0" w:line="240" w:lineRule="auto"/>
        <w:ind w:firstLineChars="0" w:firstLine="0"/>
        <w:rPr>
          <w:rFonts w:ascii="宋体" w:eastAsia="宋体" w:hAnsi="宋体" w:cs="宋体"/>
          <w:color w:val="auto"/>
          <w:sz w:val="24"/>
          <w:szCs w:val="24"/>
          <w:lang w:val="en-US"/>
        </w:rPr>
      </w:pPr>
      <w:r>
        <w:rPr>
          <w:rFonts w:hint="eastAsia"/>
          <w:lang w:val="en-US"/>
        </w:rPr>
        <w:t xml:space="preserve">操作步骤为：勾选未指定课程负责人的课程 </w:t>
      </w:r>
      <w:r w:rsidRPr="00655C4A">
        <w:rPr>
          <w:rFonts w:ascii="宋体" w:eastAsia="宋体" w:hAnsi="宋体" w:cs="宋体"/>
          <w:noProof/>
          <w:color w:val="auto"/>
          <w:sz w:val="24"/>
          <w:szCs w:val="24"/>
          <w:lang w:val="en-US"/>
        </w:rPr>
        <w:drawing>
          <wp:inline distT="0" distB="0" distL="0" distR="0">
            <wp:extent cx="5274310" cy="324485"/>
            <wp:effectExtent l="0" t="0" r="2540" b="0"/>
            <wp:docPr id="6" name="图片 6" descr="C:\Users\SHI\AppData\Roaming\Tencent\Users\40929231\QQ\WinTemp\RichOle\54F_1(W8]OM8A6DYZ0UVW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\AppData\Roaming\Tencent\Users\40929231\QQ\WinTemp\RichOle\54F_1(W8]OM8A6DYZ0UVW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4A" w:rsidRPr="00655C4A" w:rsidRDefault="00655C4A" w:rsidP="00655C4A">
      <w:pPr>
        <w:spacing w:before="0" w:after="0" w:line="240" w:lineRule="auto"/>
        <w:ind w:firstLineChars="0" w:firstLine="0"/>
        <w:rPr>
          <w:rFonts w:ascii="宋体" w:eastAsia="宋体" w:hAnsi="宋体" w:cs="宋体"/>
          <w:color w:val="auto"/>
          <w:sz w:val="24"/>
          <w:szCs w:val="24"/>
          <w:lang w:val="en-US"/>
        </w:rPr>
      </w:pPr>
      <w:r>
        <w:rPr>
          <w:rFonts w:hint="eastAsia"/>
          <w:lang w:val="en-US"/>
        </w:rPr>
        <w:lastRenderedPageBreak/>
        <w:t>点击</w:t>
      </w:r>
      <w:r w:rsidRPr="00655C4A">
        <w:rPr>
          <w:rFonts w:ascii="宋体" w:eastAsia="宋体" w:hAnsi="宋体" w:cs="宋体"/>
          <w:noProof/>
          <w:color w:val="auto"/>
          <w:sz w:val="24"/>
          <w:szCs w:val="24"/>
          <w:lang w:val="en-US"/>
        </w:rPr>
        <w:drawing>
          <wp:inline distT="0" distB="0" distL="0" distR="0">
            <wp:extent cx="1971675" cy="457200"/>
            <wp:effectExtent l="0" t="0" r="9525" b="0"/>
            <wp:docPr id="8" name="图片 8" descr="C:\Users\SHI\AppData\Roaming\Tencent\Users\40929231\QQ\WinTemp\RichOle\2SZPTUJG3V$NYG_B9J[A$3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I\AppData\Roaming\Tencent\Users\40929231\QQ\WinTemp\RichOle\2SZPTUJG3V$NYG_B9J[A$3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D40">
        <w:rPr>
          <w:rFonts w:hint="eastAsia"/>
          <w:lang w:val="en-US"/>
        </w:rPr>
        <w:t>为该课程确定一位课程负责人。</w:t>
      </w:r>
    </w:p>
    <w:p w:rsidR="00655C4A" w:rsidRDefault="00655C4A">
      <w:pPr>
        <w:ind w:firstLine="440"/>
        <w:rPr>
          <w:lang w:val="en-US"/>
        </w:rPr>
      </w:pPr>
    </w:p>
    <w:p w:rsidR="00DF5E8D" w:rsidRDefault="00AD5A25">
      <w:pPr>
        <w:pStyle w:val="1"/>
        <w:rPr>
          <w:lang w:val="en-US"/>
        </w:rPr>
      </w:pPr>
      <w:r>
        <w:rPr>
          <w:rFonts w:hint="eastAsia"/>
          <w:lang w:val="en-US"/>
        </w:rPr>
        <w:t>填写</w:t>
      </w:r>
    </w:p>
    <w:p w:rsidR="00DF5E8D" w:rsidRDefault="00AD5A25">
      <w:pPr>
        <w:pStyle w:val="2"/>
      </w:pPr>
      <w:r>
        <w:rPr>
          <w:rFonts w:hint="eastAsia"/>
        </w:rPr>
        <w:t>位置</w:t>
      </w:r>
    </w:p>
    <w:p w:rsidR="00DF5E8D" w:rsidRDefault="00AD5A25">
      <w:pPr>
        <w:ind w:firstLine="440"/>
        <w:rPr>
          <w:lang w:val="en-US"/>
        </w:rPr>
      </w:pPr>
      <w:r>
        <w:rPr>
          <w:rFonts w:hint="eastAsia"/>
          <w:lang w:val="en-US"/>
        </w:rPr>
        <w:t>首页--快捷入口/左边菜单栏--课程--大纲录入</w:t>
      </w:r>
    </w:p>
    <w:p w:rsidR="00DF5E8D" w:rsidRDefault="00AD5A25">
      <w:pPr>
        <w:ind w:firstLineChars="0" w:firstLine="0"/>
      </w:pPr>
      <w:r>
        <w:rPr>
          <w:noProof/>
        </w:rPr>
        <w:drawing>
          <wp:inline distT="0" distB="0" distL="114300" distR="114300">
            <wp:extent cx="5266690" cy="24822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8D" w:rsidRDefault="00AD5A25">
      <w:pPr>
        <w:pStyle w:val="2"/>
      </w:pPr>
      <w:r>
        <w:rPr>
          <w:rFonts w:hint="eastAsia"/>
        </w:rPr>
        <w:t>功能描述</w:t>
      </w:r>
    </w:p>
    <w:p w:rsidR="00DF5E8D" w:rsidRDefault="00AD5A25">
      <w:pPr>
        <w:ind w:firstLine="440"/>
        <w:rPr>
          <w:lang w:val="en-US"/>
        </w:rPr>
      </w:pPr>
      <w:r>
        <w:rPr>
          <w:rFonts w:hint="eastAsia"/>
          <w:lang w:val="en-US"/>
        </w:rPr>
        <w:t>点击课程大纲录入，进入自己为“负责人”的课程列表</w:t>
      </w:r>
    </w:p>
    <w:p w:rsidR="00DF5E8D" w:rsidRDefault="00AD5A25">
      <w:pPr>
        <w:ind w:firstLineChars="0" w:firstLine="0"/>
      </w:pPr>
      <w:r>
        <w:rPr>
          <w:noProof/>
        </w:rPr>
        <w:drawing>
          <wp:inline distT="0" distB="0" distL="114300" distR="114300">
            <wp:extent cx="5260975" cy="2258695"/>
            <wp:effectExtent l="0" t="0" r="952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8D" w:rsidRDefault="00AD5A25">
      <w:pPr>
        <w:ind w:firstLineChars="0" w:firstLine="0"/>
        <w:rPr>
          <w:lang w:val="en-US"/>
        </w:rPr>
      </w:pPr>
      <w:r>
        <w:rPr>
          <w:rFonts w:hint="eastAsia"/>
          <w:lang w:val="en-US"/>
        </w:rPr>
        <w:lastRenderedPageBreak/>
        <w:t>选中一个，点击编辑，进入课程大纲的编写界面；如下图</w:t>
      </w:r>
    </w:p>
    <w:p w:rsidR="00DF5E8D" w:rsidRDefault="00AD5A25">
      <w:pPr>
        <w:ind w:firstLineChars="0" w:firstLine="0"/>
        <w:rPr>
          <w:lang w:val="en-US"/>
        </w:rPr>
      </w:pPr>
      <w:r>
        <w:rPr>
          <w:rFonts w:hint="eastAsia"/>
          <w:lang w:val="en-US"/>
        </w:rPr>
        <w:t>有“必填”标记的为必填项；</w:t>
      </w:r>
    </w:p>
    <w:p w:rsidR="00B61D30" w:rsidRPr="00B61D30" w:rsidRDefault="00B61D30" w:rsidP="00B61D30">
      <w:pPr>
        <w:spacing w:before="0" w:after="0" w:line="240" w:lineRule="auto"/>
        <w:ind w:firstLineChars="0" w:firstLine="0"/>
        <w:rPr>
          <w:rFonts w:ascii="宋体" w:eastAsia="宋体" w:hAnsi="宋体" w:cs="宋体"/>
          <w:color w:val="auto"/>
          <w:sz w:val="24"/>
          <w:szCs w:val="24"/>
          <w:lang w:val="en-US"/>
        </w:rPr>
      </w:pPr>
      <w:r w:rsidRPr="00B61D30">
        <w:rPr>
          <w:rFonts w:ascii="宋体" w:eastAsia="宋体" w:hAnsi="宋体" w:cs="宋体"/>
          <w:noProof/>
          <w:color w:val="auto"/>
          <w:sz w:val="24"/>
          <w:szCs w:val="24"/>
          <w:lang w:val="en-US"/>
        </w:rPr>
        <w:drawing>
          <wp:inline distT="0" distB="0" distL="0" distR="0">
            <wp:extent cx="5274310" cy="3797300"/>
            <wp:effectExtent l="0" t="0" r="2540" b="0"/>
            <wp:docPr id="9" name="图片 9" descr="C:\Users\SHI\AppData\Roaming\Tencent\Users\40929231\QQ\WinTemp\RichOle\)FIYNUI$0F{Z$GZXBA36Q}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I\AppData\Roaming\Tencent\Users\40929231\QQ\WinTemp\RichOle\)FIYNUI$0F{Z$GZXBA36Q}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52C" w:rsidRDefault="008C6BB9" w:rsidP="002361AF">
      <w:pPr>
        <w:spacing w:before="0" w:after="0" w:line="240" w:lineRule="auto"/>
        <w:ind w:firstLine="440"/>
        <w:rPr>
          <w:lang w:val="en-US"/>
        </w:rPr>
      </w:pPr>
      <w:r w:rsidRPr="008C6BB9">
        <w:rPr>
          <w:rFonts w:hint="eastAsia"/>
          <w:b/>
          <w:bCs/>
          <w:lang w:val="en-US"/>
        </w:rPr>
        <w:t>考核形式的填报：</w:t>
      </w:r>
      <w:r w:rsidR="00BF452C" w:rsidRPr="00BF452C">
        <w:rPr>
          <w:rFonts w:hint="eastAsia"/>
          <w:lang w:val="en-US"/>
        </w:rPr>
        <w:t>若该门课程考核方式为考试，将由学校统一安排或老师自行申请考试时间、地点，采用的考核形式是笔试、机试、口试、表演、面试等，同时需要安排监考等；若该门课程考考核方式为考查，采用的考核方式是答辩、实际操作、论文、课程报告等，并无需安排考试时间、地点及监考。</w:t>
      </w:r>
    </w:p>
    <w:p w:rsidR="00DF5E8D" w:rsidRPr="008E733D" w:rsidRDefault="008C6BB9" w:rsidP="002361AF">
      <w:pPr>
        <w:spacing w:before="0" w:after="0" w:line="240" w:lineRule="auto"/>
        <w:ind w:firstLine="440"/>
        <w:rPr>
          <w:lang w:val="en-US"/>
        </w:rPr>
      </w:pPr>
      <w:r w:rsidRPr="008C6BB9">
        <w:rPr>
          <w:rFonts w:hint="eastAsia"/>
          <w:b/>
          <w:bCs/>
          <w:lang w:val="en-US"/>
        </w:rPr>
        <w:t>考核成绩构成的填报：</w:t>
      </w:r>
      <w:r w:rsidR="008E733D" w:rsidRPr="008E733D">
        <w:rPr>
          <w:lang w:val="en-US"/>
        </w:rPr>
        <w:t xml:space="preserve">考核成绩由平时成绩、阶段成绩和期末成绩组成，其中阶段成绩比率可以为0%，平时成绩比率不超过40%。阶段成绩可以由期中考试或单元测验等成绩组成。 </w:t>
      </w:r>
    </w:p>
    <w:p w:rsidR="00DF5E8D" w:rsidRDefault="00AD5A25" w:rsidP="008C6BB9">
      <w:pPr>
        <w:ind w:firstLine="440"/>
        <w:rPr>
          <w:lang w:val="en-US"/>
        </w:rPr>
      </w:pPr>
      <w:r>
        <w:rPr>
          <w:rFonts w:hint="eastAsia"/>
          <w:lang w:val="en-US"/>
        </w:rPr>
        <w:t>填写过程中可以暂存，暂存不校验必填项；保存需要校验必填项；</w:t>
      </w:r>
    </w:p>
    <w:p w:rsidR="00DF5E8D" w:rsidRDefault="00AD5A25" w:rsidP="003C5B5C">
      <w:pPr>
        <w:ind w:firstLine="440"/>
        <w:rPr>
          <w:lang w:val="en-US"/>
        </w:rPr>
      </w:pPr>
      <w:r>
        <w:rPr>
          <w:rFonts w:hint="eastAsia"/>
          <w:lang w:val="en-US"/>
        </w:rPr>
        <w:t>填写完毕保存之后，在外层选中做提交操作；</w:t>
      </w:r>
    </w:p>
    <w:p w:rsidR="00DF5E8D" w:rsidRDefault="00AD5A25">
      <w:pPr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64150" cy="1232535"/>
            <wp:effectExtent l="0" t="0" r="635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8D" w:rsidRDefault="00AD5A25" w:rsidP="003C5B5C">
      <w:pPr>
        <w:ind w:firstLine="440"/>
        <w:rPr>
          <w:lang w:val="en-US"/>
        </w:rPr>
      </w:pPr>
      <w:r>
        <w:rPr>
          <w:rFonts w:hint="eastAsia"/>
          <w:lang w:val="en-US"/>
        </w:rPr>
        <w:t>之后进入</w:t>
      </w:r>
      <w:r w:rsidR="008E733D">
        <w:rPr>
          <w:rFonts w:hint="eastAsia"/>
          <w:lang w:val="en-US"/>
        </w:rPr>
        <w:t>系所负责人（前期已导入）</w:t>
      </w:r>
      <w:r>
        <w:rPr>
          <w:rFonts w:hint="eastAsia"/>
          <w:lang w:val="en-US"/>
        </w:rPr>
        <w:t>审核阶段，提交之后不能进行编辑；</w:t>
      </w:r>
    </w:p>
    <w:p w:rsidR="00667453" w:rsidRDefault="00667453" w:rsidP="00667453">
      <w:pPr>
        <w:pStyle w:val="1"/>
        <w:rPr>
          <w:lang w:val="en-US"/>
        </w:rPr>
      </w:pPr>
      <w:r>
        <w:rPr>
          <w:rFonts w:hint="eastAsia"/>
          <w:lang w:val="en-US"/>
        </w:rPr>
        <w:t>审核</w:t>
      </w:r>
    </w:p>
    <w:p w:rsidR="00D41ED5" w:rsidRDefault="003C5B5C" w:rsidP="00DB63B0">
      <w:pPr>
        <w:ind w:firstLine="440"/>
        <w:rPr>
          <w:lang w:val="en-US"/>
        </w:rPr>
      </w:pPr>
      <w:r>
        <w:rPr>
          <w:rFonts w:hint="eastAsia"/>
          <w:lang w:val="en-US"/>
        </w:rPr>
        <w:t>系所负责人审核界面</w:t>
      </w:r>
      <w:r w:rsidR="00DB63B0">
        <w:rPr>
          <w:rFonts w:hint="eastAsia"/>
          <w:lang w:val="en-US"/>
        </w:rPr>
        <w:t>，注意需切换成“系</w:t>
      </w:r>
      <w:r w:rsidR="00F95CFA">
        <w:rPr>
          <w:rFonts w:hint="eastAsia"/>
          <w:lang w:val="en-US"/>
        </w:rPr>
        <w:t>所负责人</w:t>
      </w:r>
      <w:r w:rsidR="00DB63B0">
        <w:rPr>
          <w:rFonts w:hint="eastAsia"/>
          <w:lang w:val="en-US"/>
        </w:rPr>
        <w:t>”的</w:t>
      </w:r>
      <w:r w:rsidR="00DB63B0" w:rsidRPr="00A2604D">
        <w:rPr>
          <w:rFonts w:hint="eastAsia"/>
          <w:lang w:val="en-US"/>
        </w:rPr>
        <w:t>角色方能审核</w:t>
      </w:r>
      <w:r w:rsidR="00F95CFA">
        <w:rPr>
          <w:rFonts w:hint="eastAsia"/>
          <w:lang w:val="en-US"/>
        </w:rPr>
        <w:t>。</w:t>
      </w:r>
    </w:p>
    <w:p w:rsidR="00D41ED5" w:rsidRPr="00D41ED5" w:rsidRDefault="00D41ED5" w:rsidP="00D41ED5">
      <w:pPr>
        <w:spacing w:before="0" w:after="0" w:line="240" w:lineRule="auto"/>
        <w:ind w:firstLineChars="0" w:firstLine="0"/>
        <w:rPr>
          <w:rFonts w:ascii="宋体" w:eastAsia="宋体" w:hAnsi="宋体" w:cs="宋体"/>
          <w:color w:val="auto"/>
          <w:sz w:val="24"/>
          <w:szCs w:val="24"/>
          <w:lang w:val="en-US"/>
        </w:rPr>
      </w:pPr>
      <w:r w:rsidRPr="00D41ED5">
        <w:rPr>
          <w:rFonts w:ascii="宋体" w:eastAsia="宋体" w:hAnsi="宋体" w:cs="宋体"/>
          <w:noProof/>
          <w:color w:val="auto"/>
          <w:sz w:val="24"/>
          <w:szCs w:val="24"/>
          <w:lang w:val="en-US"/>
        </w:rPr>
        <w:drawing>
          <wp:inline distT="0" distB="0" distL="0" distR="0">
            <wp:extent cx="5500077" cy="2181225"/>
            <wp:effectExtent l="0" t="0" r="5715" b="0"/>
            <wp:docPr id="4" name="图片 4" descr="C:\Users\SHI\Documents\Tencent Files\40929231\Image\C2C\(22UT`_714`Y)`B)D2DPZ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\Documents\Tencent Files\40929231\Image\C2C\(22UT`_714`Y)`B)D2DPZC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22" cy="218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53" w:rsidRPr="00667453" w:rsidRDefault="00667453" w:rsidP="00DB63B0">
      <w:pPr>
        <w:ind w:firstLine="440"/>
        <w:rPr>
          <w:lang w:val="en-US"/>
        </w:rPr>
      </w:pPr>
    </w:p>
    <w:p w:rsidR="00667453" w:rsidRPr="00667453" w:rsidRDefault="00667453" w:rsidP="00667453">
      <w:pPr>
        <w:ind w:firstLine="440"/>
        <w:rPr>
          <w:lang w:val="en-US"/>
        </w:rPr>
      </w:pPr>
      <w:bookmarkStart w:id="0" w:name="_GoBack"/>
      <w:bookmarkEnd w:id="0"/>
    </w:p>
    <w:p w:rsidR="00DF5E8D" w:rsidRDefault="00DF5E8D">
      <w:pPr>
        <w:ind w:firstLineChars="0" w:firstLine="0"/>
        <w:rPr>
          <w:lang w:val="en-US"/>
        </w:rPr>
      </w:pPr>
    </w:p>
    <w:sectPr w:rsidR="00DF5E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DF5" w:rsidRDefault="003B1DF5" w:rsidP="00A56213">
      <w:pPr>
        <w:spacing w:before="0" w:after="0" w:line="240" w:lineRule="auto"/>
        <w:ind w:firstLine="440"/>
      </w:pPr>
      <w:r>
        <w:separator/>
      </w:r>
    </w:p>
  </w:endnote>
  <w:endnote w:type="continuationSeparator" w:id="0">
    <w:p w:rsidR="003B1DF5" w:rsidRDefault="003B1DF5" w:rsidP="00A56213">
      <w:pPr>
        <w:spacing w:before="0" w:after="0"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213" w:rsidRDefault="00A5621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213" w:rsidRDefault="00A5621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213" w:rsidRDefault="00A5621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DF5" w:rsidRDefault="003B1DF5" w:rsidP="00A56213">
      <w:pPr>
        <w:spacing w:before="0" w:after="0" w:line="240" w:lineRule="auto"/>
        <w:ind w:firstLine="440"/>
      </w:pPr>
      <w:r>
        <w:separator/>
      </w:r>
    </w:p>
  </w:footnote>
  <w:footnote w:type="continuationSeparator" w:id="0">
    <w:p w:rsidR="003B1DF5" w:rsidRDefault="003B1DF5" w:rsidP="00A56213">
      <w:pPr>
        <w:spacing w:before="0" w:after="0"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213" w:rsidRDefault="00A5621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213" w:rsidRDefault="00A5621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213" w:rsidRDefault="00A5621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065528"/>
    <w:multiLevelType w:val="multilevel"/>
    <w:tmpl w:val="BF065528"/>
    <w:lvl w:ilvl="0">
      <w:start w:val="1"/>
      <w:numFmt w:val="decimal"/>
      <w:pStyle w:val="1"/>
      <w:lvlText w:val="%1."/>
      <w:lvlJc w:val="left"/>
      <w:pPr>
        <w:ind w:left="1134" w:hanging="425"/>
      </w:pPr>
    </w:lvl>
    <w:lvl w:ilvl="1">
      <w:start w:val="1"/>
      <w:numFmt w:val="decimal"/>
      <w:pStyle w:val="2"/>
      <w:lvlText w:val="%1.%2."/>
      <w:lvlJc w:val="left"/>
      <w:pPr>
        <w:ind w:left="6804" w:hanging="567"/>
      </w:pPr>
    </w:lvl>
    <w:lvl w:ilvl="2">
      <w:start w:val="1"/>
      <w:numFmt w:val="decimal"/>
      <w:lvlText w:val="%1.%2.%3."/>
      <w:lvlJc w:val="left"/>
      <w:pPr>
        <w:ind w:left="8647" w:hanging="709"/>
      </w:pPr>
    </w:lvl>
    <w:lvl w:ilvl="3">
      <w:start w:val="1"/>
      <w:numFmt w:val="decimal"/>
      <w:lvlText w:val="%1.%2.%3.%4."/>
      <w:lvlJc w:val="left"/>
      <w:pPr>
        <w:ind w:left="7088" w:hanging="851"/>
      </w:pPr>
    </w:lvl>
    <w:lvl w:ilvl="4">
      <w:start w:val="1"/>
      <w:numFmt w:val="decimal"/>
      <w:lvlText w:val="%1.%2.%3.%4.%5."/>
      <w:lvlJc w:val="left"/>
      <w:pPr>
        <w:ind w:left="7229" w:hanging="992"/>
      </w:pPr>
    </w:lvl>
    <w:lvl w:ilvl="5">
      <w:start w:val="1"/>
      <w:numFmt w:val="decimal"/>
      <w:lvlText w:val="%1.%2.%3.%4.%5.%6."/>
      <w:lvlJc w:val="left"/>
      <w:pPr>
        <w:ind w:left="7371" w:hanging="1134"/>
      </w:pPr>
    </w:lvl>
    <w:lvl w:ilvl="6">
      <w:start w:val="1"/>
      <w:numFmt w:val="decimal"/>
      <w:lvlText w:val="%1.%2.%3.%4.%5.%6.%7."/>
      <w:lvlJc w:val="left"/>
      <w:pPr>
        <w:ind w:left="7513" w:hanging="1276"/>
      </w:pPr>
    </w:lvl>
    <w:lvl w:ilvl="7">
      <w:start w:val="1"/>
      <w:numFmt w:val="decimal"/>
      <w:lvlText w:val="%1.%2.%3.%4.%5.%6.%7.%8."/>
      <w:lvlJc w:val="left"/>
      <w:pPr>
        <w:ind w:left="7655" w:hanging="1418"/>
      </w:pPr>
    </w:lvl>
    <w:lvl w:ilvl="8">
      <w:start w:val="1"/>
      <w:numFmt w:val="decimal"/>
      <w:lvlText w:val="%1.%2.%3.%4.%5.%6.%7.%8.%9."/>
      <w:lvlJc w:val="left"/>
      <w:pPr>
        <w:ind w:left="7796" w:hanging="1559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8D"/>
    <w:rsid w:val="002361AF"/>
    <w:rsid w:val="002E3CA9"/>
    <w:rsid w:val="003223CE"/>
    <w:rsid w:val="00381D40"/>
    <w:rsid w:val="003B1DF5"/>
    <w:rsid w:val="003C5B5C"/>
    <w:rsid w:val="00655C4A"/>
    <w:rsid w:val="00667453"/>
    <w:rsid w:val="008C6BB9"/>
    <w:rsid w:val="008E733D"/>
    <w:rsid w:val="0098730D"/>
    <w:rsid w:val="009C5A6F"/>
    <w:rsid w:val="00A2604D"/>
    <w:rsid w:val="00A56213"/>
    <w:rsid w:val="00AD5A25"/>
    <w:rsid w:val="00B61D30"/>
    <w:rsid w:val="00BF452C"/>
    <w:rsid w:val="00C001EA"/>
    <w:rsid w:val="00D41ED5"/>
    <w:rsid w:val="00DB63B0"/>
    <w:rsid w:val="00DF5E8D"/>
    <w:rsid w:val="00E174FB"/>
    <w:rsid w:val="00E67611"/>
    <w:rsid w:val="00F95CFA"/>
    <w:rsid w:val="78BC3388"/>
    <w:rsid w:val="799118F2"/>
    <w:rsid w:val="7F9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03EB2"/>
  <w15:docId w15:val="{8368067C-5436-47E4-A18E-574D6A68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80" w:after="100" w:line="276" w:lineRule="auto"/>
      <w:ind w:firstLineChars="200" w:firstLine="200"/>
    </w:pPr>
    <w:rPr>
      <w:rFonts w:ascii="Microsoft YaHei UI" w:eastAsia="Microsoft YaHei UI" w:hAnsi="Microsoft YaHei UI" w:cstheme="minorBidi"/>
      <w:color w:val="595959"/>
      <w:sz w:val="22"/>
      <w:szCs w:val="22"/>
      <w:lang w:val="zh-CN"/>
    </w:rPr>
  </w:style>
  <w:style w:type="paragraph" w:styleId="1">
    <w:name w:val="heading 1"/>
    <w:basedOn w:val="a"/>
    <w:next w:val="a"/>
    <w:qFormat/>
    <w:pPr>
      <w:numPr>
        <w:numId w:val="1"/>
      </w:numPr>
      <w:spacing w:after="0" w:line="240" w:lineRule="auto"/>
      <w:ind w:left="425" w:firstLineChars="0" w:firstLine="0"/>
      <w:outlineLvl w:val="0"/>
    </w:pPr>
    <w:rPr>
      <w:rFonts w:cs="Times New Roman"/>
      <w:b/>
      <w:color w:val="4472C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numPr>
        <w:ilvl w:val="1"/>
        <w:numId w:val="1"/>
      </w:numPr>
      <w:pBdr>
        <w:bottom w:val="single" w:sz="12" w:space="1" w:color="4472C4"/>
      </w:pBdr>
      <w:shd w:val="clear" w:color="auto" w:fill="F2F2F2" w:themeFill="background1" w:themeFillShade="F2"/>
      <w:spacing w:line="240" w:lineRule="auto"/>
      <w:ind w:left="567" w:firstLineChars="0" w:firstLine="0"/>
      <w:outlineLvl w:val="1"/>
    </w:pPr>
    <w:rPr>
      <w:rFonts w:cs="Times New Roman"/>
      <w:b/>
      <w:color w:val="4472C4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rPr>
      <w:rFonts w:ascii="Microsoft YaHei UI" w:eastAsia="Microsoft YaHei UI" w:hAnsi="Microsoft YaHei UI" w:cs="Times New Roman"/>
      <w:b/>
      <w:color w:val="4472C4"/>
      <w:kern w:val="0"/>
      <w:sz w:val="24"/>
      <w:szCs w:val="22"/>
      <w:lang w:val="en-US"/>
    </w:rPr>
  </w:style>
  <w:style w:type="paragraph" w:styleId="a5">
    <w:name w:val="footer"/>
    <w:basedOn w:val="a"/>
    <w:link w:val="a6"/>
    <w:rsid w:val="00A5621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6213"/>
    <w:rPr>
      <w:rFonts w:ascii="Microsoft YaHei UI" w:eastAsia="Microsoft YaHei UI" w:hAnsi="Microsoft YaHei UI" w:cstheme="minorBidi"/>
      <w:color w:val="595959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tourist</cp:lastModifiedBy>
  <cp:revision>18</cp:revision>
  <dcterms:created xsi:type="dcterms:W3CDTF">2019-06-28T03:35:00Z</dcterms:created>
  <dcterms:modified xsi:type="dcterms:W3CDTF">2019-07-03T03:08:00Z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